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2D" w:rsidRPr="0072552D" w:rsidRDefault="00D61BE3" w:rsidP="0072552D">
      <w:pPr>
        <w:rPr>
          <w:color w:val="000000"/>
        </w:rPr>
      </w:pPr>
      <w:r>
        <w:rPr>
          <w:rStyle w:val="apple-style-span"/>
          <w:color w:val="000000"/>
        </w:rPr>
        <w:t xml:space="preserve">Review of </w:t>
      </w:r>
      <w:r w:rsidR="00CF74BA">
        <w:rPr>
          <w:rStyle w:val="apple-style-span"/>
          <w:color w:val="000000"/>
        </w:rPr>
        <w:t xml:space="preserve">National Assembly’s and it’s Committees’ </w:t>
      </w:r>
      <w:r>
        <w:rPr>
          <w:rStyle w:val="apple-style-span"/>
          <w:color w:val="000000"/>
        </w:rPr>
        <w:t>proceeding</w:t>
      </w:r>
      <w:r w:rsidR="00CF74BA">
        <w:rPr>
          <w:rStyle w:val="apple-style-span"/>
          <w:color w:val="000000"/>
        </w:rPr>
        <w:t>s</w:t>
      </w:r>
      <w:r>
        <w:rPr>
          <w:rStyle w:val="apple-style-span"/>
          <w:color w:val="000000"/>
        </w:rPr>
        <w:t xml:space="preserve"> </w:t>
      </w:r>
      <w:r w:rsidR="00CF74BA">
        <w:rPr>
          <w:rStyle w:val="apple-style-span"/>
          <w:color w:val="000000"/>
        </w:rPr>
        <w:t xml:space="preserve"> </w:t>
      </w:r>
      <w:r>
        <w:rPr>
          <w:rStyle w:val="apple-style-span"/>
          <w:color w:val="000000"/>
        </w:rPr>
        <w:t>with the reports of independent anticorruption organs</w:t>
      </w:r>
      <w:r w:rsidR="0072552D" w:rsidRPr="0072552D">
        <w:rPr>
          <w:rStyle w:val="apple-style-span"/>
          <w:color w:val="000000"/>
        </w:rPr>
        <w:t xml:space="preserve"> – </w:t>
      </w:r>
      <w:r>
        <w:rPr>
          <w:rStyle w:val="apple-style-span"/>
          <w:color w:val="000000"/>
        </w:rPr>
        <w:t>Transparency</w:t>
      </w:r>
      <w:r w:rsidR="0072552D" w:rsidRPr="0072552D">
        <w:rPr>
          <w:rStyle w:val="apple-style-span"/>
          <w:color w:val="000000"/>
        </w:rPr>
        <w:t xml:space="preserve"> – </w:t>
      </w:r>
      <w:r>
        <w:rPr>
          <w:rStyle w:val="apple-style-span"/>
          <w:color w:val="000000"/>
        </w:rPr>
        <w:t>Serbia</w:t>
      </w:r>
      <w:r w:rsidRPr="0072552D">
        <w:rPr>
          <w:rStyle w:val="apple-style-span"/>
          <w:color w:val="000000"/>
        </w:rPr>
        <w:t>,</w:t>
      </w:r>
      <w:r>
        <w:rPr>
          <w:rStyle w:val="apple-style-span"/>
          <w:color w:val="000000"/>
        </w:rPr>
        <w:t xml:space="preserve"> </w:t>
      </w:r>
      <w:r w:rsidRPr="0072552D">
        <w:rPr>
          <w:rStyle w:val="apple-style-span"/>
          <w:color w:val="000000"/>
        </w:rPr>
        <w:t>4</w:t>
      </w:r>
      <w:r>
        <w:rPr>
          <w:rStyle w:val="apple-style-span"/>
          <w:color w:val="000000"/>
        </w:rPr>
        <w:t xml:space="preserve"> July</w:t>
      </w:r>
      <w:r w:rsidR="0072552D" w:rsidRPr="0072552D">
        <w:rPr>
          <w:rStyle w:val="apple-style-span"/>
          <w:color w:val="000000"/>
        </w:rPr>
        <w:t xml:space="preserve"> 2011</w:t>
      </w:r>
    </w:p>
    <w:p w:rsidR="0072552D" w:rsidRDefault="0072552D"/>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1374"/>
        <w:gridCol w:w="1377"/>
        <w:gridCol w:w="1503"/>
        <w:gridCol w:w="1440"/>
        <w:gridCol w:w="3059"/>
        <w:gridCol w:w="1501"/>
        <w:gridCol w:w="1680"/>
      </w:tblGrid>
      <w:tr w:rsidR="004A4D99" w:rsidRPr="00452321" w:rsidTr="0072552D">
        <w:tc>
          <w:tcPr>
            <w:tcW w:w="1974" w:type="dxa"/>
            <w:vAlign w:val="center"/>
          </w:tcPr>
          <w:p w:rsidR="004A4D99" w:rsidRPr="009E363E" w:rsidRDefault="00D61BE3" w:rsidP="00D61BE3">
            <w:pPr>
              <w:jc w:val="center"/>
              <w:rPr>
                <w:b/>
                <w:sz w:val="20"/>
                <w:szCs w:val="20"/>
              </w:rPr>
            </w:pPr>
            <w:r>
              <w:rPr>
                <w:b/>
                <w:sz w:val="20"/>
                <w:szCs w:val="20"/>
                <w:lang/>
              </w:rPr>
              <w:t>Independent organ</w:t>
            </w:r>
          </w:p>
        </w:tc>
        <w:tc>
          <w:tcPr>
            <w:tcW w:w="2751" w:type="dxa"/>
            <w:gridSpan w:val="2"/>
            <w:vAlign w:val="center"/>
          </w:tcPr>
          <w:p w:rsidR="004A4D99" w:rsidRPr="00452321" w:rsidRDefault="00D61BE3" w:rsidP="00D61BE3">
            <w:pPr>
              <w:jc w:val="center"/>
              <w:rPr>
                <w:b/>
                <w:sz w:val="20"/>
                <w:szCs w:val="20"/>
                <w:lang/>
              </w:rPr>
            </w:pPr>
            <w:r>
              <w:rPr>
                <w:b/>
                <w:sz w:val="20"/>
                <w:szCs w:val="20"/>
              </w:rPr>
              <w:t>Proceeding of independent state organ</w:t>
            </w:r>
          </w:p>
        </w:tc>
        <w:tc>
          <w:tcPr>
            <w:tcW w:w="9183" w:type="dxa"/>
            <w:gridSpan w:val="5"/>
            <w:vAlign w:val="center"/>
          </w:tcPr>
          <w:p w:rsidR="004A4D99" w:rsidRPr="00452321" w:rsidRDefault="00D61BE3" w:rsidP="00D61BE3">
            <w:pPr>
              <w:jc w:val="center"/>
              <w:rPr>
                <w:b/>
                <w:sz w:val="20"/>
                <w:szCs w:val="20"/>
                <w:lang/>
              </w:rPr>
            </w:pPr>
            <w:r>
              <w:rPr>
                <w:b/>
                <w:sz w:val="20"/>
                <w:szCs w:val="20"/>
                <w:lang/>
              </w:rPr>
              <w:t xml:space="preserve">Proceeding of National Assembly and </w:t>
            </w:r>
            <w:r w:rsidR="00194A45">
              <w:rPr>
                <w:b/>
                <w:sz w:val="20"/>
                <w:szCs w:val="20"/>
                <w:lang/>
              </w:rPr>
              <w:t xml:space="preserve">of </w:t>
            </w:r>
            <w:r>
              <w:rPr>
                <w:b/>
                <w:sz w:val="20"/>
                <w:szCs w:val="20"/>
                <w:lang/>
              </w:rPr>
              <w:t>authorized Committees</w:t>
            </w:r>
          </w:p>
        </w:tc>
      </w:tr>
      <w:tr w:rsidR="004A4D99" w:rsidRPr="00452321" w:rsidTr="0072552D">
        <w:tc>
          <w:tcPr>
            <w:tcW w:w="1974" w:type="dxa"/>
          </w:tcPr>
          <w:p w:rsidR="004A4D99" w:rsidRDefault="004A4D99" w:rsidP="00AB662C">
            <w:pPr>
              <w:rPr>
                <w:sz w:val="20"/>
                <w:szCs w:val="20"/>
              </w:rPr>
            </w:pPr>
          </w:p>
          <w:p w:rsidR="009E363E" w:rsidRDefault="009E363E" w:rsidP="00AB662C">
            <w:pPr>
              <w:rPr>
                <w:sz w:val="20"/>
                <w:szCs w:val="20"/>
              </w:rPr>
            </w:pPr>
          </w:p>
          <w:p w:rsidR="009E363E" w:rsidRDefault="009E363E" w:rsidP="00AB662C">
            <w:pPr>
              <w:rPr>
                <w:sz w:val="20"/>
                <w:szCs w:val="20"/>
              </w:rPr>
            </w:pPr>
          </w:p>
          <w:p w:rsidR="009E363E" w:rsidRPr="00452321" w:rsidRDefault="009E363E" w:rsidP="00AB662C">
            <w:pPr>
              <w:rPr>
                <w:sz w:val="20"/>
                <w:szCs w:val="20"/>
              </w:rPr>
            </w:pPr>
          </w:p>
        </w:tc>
        <w:tc>
          <w:tcPr>
            <w:tcW w:w="1374" w:type="dxa"/>
          </w:tcPr>
          <w:p w:rsidR="004A4D99" w:rsidRPr="00452321" w:rsidRDefault="00D61BE3" w:rsidP="00F54D6F">
            <w:pPr>
              <w:rPr>
                <w:sz w:val="20"/>
                <w:szCs w:val="20"/>
                <w:lang w:val="sr-Cyrl-CS"/>
              </w:rPr>
            </w:pPr>
            <w:r>
              <w:rPr>
                <w:sz w:val="20"/>
                <w:szCs w:val="20"/>
              </w:rPr>
              <w:t>Deadline for delivering of annual report</w:t>
            </w:r>
          </w:p>
        </w:tc>
        <w:tc>
          <w:tcPr>
            <w:tcW w:w="1377" w:type="dxa"/>
          </w:tcPr>
          <w:p w:rsidR="004A4D99" w:rsidRPr="00452321" w:rsidRDefault="00F54D6F" w:rsidP="00F54D6F">
            <w:pPr>
              <w:rPr>
                <w:sz w:val="20"/>
                <w:szCs w:val="20"/>
                <w:lang w:val="sr-Cyrl-CS"/>
              </w:rPr>
            </w:pPr>
            <w:r>
              <w:rPr>
                <w:sz w:val="20"/>
                <w:szCs w:val="20"/>
              </w:rPr>
              <w:t xml:space="preserve">Date of report delivering </w:t>
            </w:r>
          </w:p>
        </w:tc>
        <w:tc>
          <w:tcPr>
            <w:tcW w:w="1503" w:type="dxa"/>
          </w:tcPr>
          <w:p w:rsidR="004A4D99" w:rsidRPr="00452321" w:rsidRDefault="00F54D6F" w:rsidP="00F54D6F">
            <w:pPr>
              <w:rPr>
                <w:sz w:val="20"/>
                <w:szCs w:val="20"/>
                <w:lang w:val="sr-Cyrl-CS"/>
              </w:rPr>
            </w:pPr>
            <w:r>
              <w:rPr>
                <w:sz w:val="20"/>
                <w:szCs w:val="20"/>
              </w:rPr>
              <w:t xml:space="preserve">Deadline for consideration of the report </w:t>
            </w:r>
            <w:r w:rsidR="004A4D99" w:rsidRPr="00452321">
              <w:rPr>
                <w:sz w:val="20"/>
                <w:szCs w:val="20"/>
                <w:lang w:val="sr-Cyrl-CS"/>
              </w:rPr>
              <w:t xml:space="preserve">(30 </w:t>
            </w:r>
            <w:r>
              <w:rPr>
                <w:sz w:val="20"/>
                <w:szCs w:val="20"/>
              </w:rPr>
              <w:t>days from delivering date</w:t>
            </w:r>
            <w:r w:rsidR="004A4D99" w:rsidRPr="00452321">
              <w:rPr>
                <w:sz w:val="20"/>
                <w:szCs w:val="20"/>
                <w:lang w:val="sr-Cyrl-CS"/>
              </w:rPr>
              <w:t>)</w:t>
            </w:r>
          </w:p>
        </w:tc>
        <w:tc>
          <w:tcPr>
            <w:tcW w:w="1440" w:type="dxa"/>
          </w:tcPr>
          <w:p w:rsidR="004A4D99" w:rsidRPr="00452321" w:rsidRDefault="00F54D6F" w:rsidP="00F54D6F">
            <w:pPr>
              <w:rPr>
                <w:sz w:val="20"/>
                <w:szCs w:val="20"/>
                <w:lang w:val="sr-Cyrl-CS"/>
              </w:rPr>
            </w:pPr>
            <w:r>
              <w:rPr>
                <w:sz w:val="20"/>
                <w:szCs w:val="20"/>
              </w:rPr>
              <w:t>Date of report consideration in the Committees</w:t>
            </w:r>
          </w:p>
        </w:tc>
        <w:tc>
          <w:tcPr>
            <w:tcW w:w="3059" w:type="dxa"/>
          </w:tcPr>
          <w:p w:rsidR="004A4D99" w:rsidRPr="00452321" w:rsidRDefault="00F54D6F" w:rsidP="00F54D6F">
            <w:pPr>
              <w:rPr>
                <w:sz w:val="20"/>
                <w:szCs w:val="20"/>
                <w:lang w:val="sr-Cyrl-CS"/>
              </w:rPr>
            </w:pPr>
            <w:r>
              <w:rPr>
                <w:sz w:val="20"/>
                <w:szCs w:val="20"/>
              </w:rPr>
              <w:t>Description of Committees’ proceedings</w:t>
            </w:r>
          </w:p>
        </w:tc>
        <w:tc>
          <w:tcPr>
            <w:tcW w:w="1501" w:type="dxa"/>
          </w:tcPr>
          <w:p w:rsidR="004A4D99" w:rsidRPr="00452321" w:rsidRDefault="00F54D6F" w:rsidP="00F54D6F">
            <w:pPr>
              <w:rPr>
                <w:sz w:val="20"/>
                <w:szCs w:val="20"/>
                <w:lang w:val="sr-Cyrl-CS"/>
              </w:rPr>
            </w:pPr>
            <w:r>
              <w:rPr>
                <w:sz w:val="20"/>
                <w:szCs w:val="20"/>
              </w:rPr>
              <w:t>First following sitting of the National Assembly</w:t>
            </w:r>
          </w:p>
        </w:tc>
        <w:tc>
          <w:tcPr>
            <w:tcW w:w="1680" w:type="dxa"/>
          </w:tcPr>
          <w:p w:rsidR="004A4D99" w:rsidRPr="00452321" w:rsidRDefault="00F54D6F" w:rsidP="00F54D6F">
            <w:pPr>
              <w:rPr>
                <w:sz w:val="20"/>
                <w:szCs w:val="20"/>
                <w:lang w:val="sr-Cyrl-CS"/>
              </w:rPr>
            </w:pPr>
            <w:r>
              <w:rPr>
                <w:sz w:val="20"/>
                <w:szCs w:val="20"/>
              </w:rPr>
              <w:t>Description of National Assembly’s proceedings</w:t>
            </w:r>
          </w:p>
        </w:tc>
      </w:tr>
      <w:tr w:rsidR="004A4D99" w:rsidRPr="00452321" w:rsidTr="0072552D">
        <w:tc>
          <w:tcPr>
            <w:tcW w:w="1974" w:type="dxa"/>
          </w:tcPr>
          <w:p w:rsidR="004A4D99" w:rsidRPr="00452321" w:rsidRDefault="00D61BE3" w:rsidP="00D61BE3">
            <w:pPr>
              <w:rPr>
                <w:sz w:val="20"/>
                <w:szCs w:val="20"/>
                <w:lang/>
              </w:rPr>
            </w:pPr>
            <w:r>
              <w:rPr>
                <w:sz w:val="20"/>
                <w:szCs w:val="20"/>
              </w:rPr>
              <w:t>Ombudsman</w:t>
            </w:r>
            <w:r w:rsidR="004A4D99" w:rsidRPr="00452321">
              <w:rPr>
                <w:sz w:val="20"/>
                <w:szCs w:val="20"/>
                <w:lang w:val="sr-Cyrl-CS"/>
              </w:rPr>
              <w:t xml:space="preserve">  </w:t>
            </w:r>
          </w:p>
        </w:tc>
        <w:tc>
          <w:tcPr>
            <w:tcW w:w="1374" w:type="dxa"/>
          </w:tcPr>
          <w:p w:rsidR="004A4D99" w:rsidRPr="00452321" w:rsidRDefault="004A4D99" w:rsidP="00AB662C">
            <w:pPr>
              <w:rPr>
                <w:sz w:val="20"/>
                <w:szCs w:val="20"/>
                <w:lang w:val="sr-Cyrl-CS"/>
              </w:rPr>
            </w:pPr>
            <w:r w:rsidRPr="00452321">
              <w:rPr>
                <w:sz w:val="20"/>
                <w:szCs w:val="20"/>
                <w:lang w:val="sr-Latn-CS"/>
              </w:rPr>
              <w:t>15.03</w:t>
            </w:r>
            <w:r w:rsidRPr="00452321">
              <w:rPr>
                <w:sz w:val="20"/>
                <w:szCs w:val="20"/>
                <w:lang/>
              </w:rPr>
              <w:t>.</w:t>
            </w:r>
            <w:r w:rsidRPr="00452321">
              <w:rPr>
                <w:sz w:val="20"/>
                <w:szCs w:val="20"/>
                <w:lang w:val="sr-Cyrl-CS"/>
              </w:rPr>
              <w:t xml:space="preserve"> 2011.</w:t>
            </w:r>
          </w:p>
        </w:tc>
        <w:tc>
          <w:tcPr>
            <w:tcW w:w="1377" w:type="dxa"/>
          </w:tcPr>
          <w:p w:rsidR="004A4D99" w:rsidRPr="00452321" w:rsidRDefault="004A4D99" w:rsidP="00AB662C">
            <w:pPr>
              <w:rPr>
                <w:sz w:val="20"/>
                <w:szCs w:val="20"/>
                <w:lang/>
              </w:rPr>
            </w:pPr>
            <w:r w:rsidRPr="00452321">
              <w:rPr>
                <w:sz w:val="20"/>
                <w:szCs w:val="20"/>
                <w:lang w:val="sr-Latn-CS"/>
              </w:rPr>
              <w:t>15.03</w:t>
            </w:r>
            <w:r w:rsidRPr="00452321">
              <w:rPr>
                <w:sz w:val="20"/>
                <w:szCs w:val="20"/>
                <w:lang/>
              </w:rPr>
              <w:t>.</w:t>
            </w:r>
            <w:r w:rsidRPr="00452321">
              <w:rPr>
                <w:sz w:val="20"/>
                <w:szCs w:val="20"/>
                <w:lang w:val="sr-Cyrl-CS"/>
              </w:rPr>
              <w:t xml:space="preserve"> 2011</w:t>
            </w:r>
          </w:p>
        </w:tc>
        <w:tc>
          <w:tcPr>
            <w:tcW w:w="1503" w:type="dxa"/>
          </w:tcPr>
          <w:p w:rsidR="004A4D99" w:rsidRPr="009214A0" w:rsidRDefault="004A4D99" w:rsidP="00AB662C">
            <w:pPr>
              <w:rPr>
                <w:sz w:val="20"/>
                <w:szCs w:val="20"/>
              </w:rPr>
            </w:pPr>
            <w:r>
              <w:rPr>
                <w:sz w:val="20"/>
                <w:szCs w:val="20"/>
              </w:rPr>
              <w:t>15.04.2011</w:t>
            </w:r>
          </w:p>
        </w:tc>
        <w:tc>
          <w:tcPr>
            <w:tcW w:w="1440" w:type="dxa"/>
          </w:tcPr>
          <w:p w:rsidR="004A4D99" w:rsidRPr="00452321" w:rsidRDefault="00F54D6F" w:rsidP="00F54D6F">
            <w:pPr>
              <w:rPr>
                <w:sz w:val="20"/>
                <w:szCs w:val="20"/>
                <w:lang w:val="sr-Cyrl-CS"/>
              </w:rPr>
            </w:pPr>
            <w:r>
              <w:rPr>
                <w:sz w:val="20"/>
                <w:szCs w:val="20"/>
                <w:lang w:val="sr-Cyrl-CS"/>
              </w:rPr>
              <w:t>26</w:t>
            </w:r>
            <w:r>
              <w:rPr>
                <w:sz w:val="20"/>
                <w:szCs w:val="20"/>
              </w:rPr>
              <w:t xml:space="preserve"> May</w:t>
            </w:r>
            <w:r w:rsidR="004A4D99" w:rsidRPr="00452321">
              <w:rPr>
                <w:sz w:val="20"/>
                <w:szCs w:val="20"/>
                <w:lang w:val="sr-Cyrl-CS"/>
              </w:rPr>
              <w:t>, 21</w:t>
            </w:r>
            <w:r>
              <w:rPr>
                <w:sz w:val="20"/>
                <w:szCs w:val="20"/>
              </w:rPr>
              <w:t xml:space="preserve"> June</w:t>
            </w:r>
          </w:p>
        </w:tc>
        <w:tc>
          <w:tcPr>
            <w:tcW w:w="3059" w:type="dxa"/>
          </w:tcPr>
          <w:p w:rsidR="004A4D99" w:rsidRPr="00452321" w:rsidRDefault="00F54D6F" w:rsidP="00CF74BA">
            <w:pPr>
              <w:rPr>
                <w:sz w:val="20"/>
                <w:szCs w:val="20"/>
                <w:lang/>
              </w:rPr>
            </w:pPr>
            <w:r>
              <w:rPr>
                <w:sz w:val="20"/>
                <w:szCs w:val="20"/>
              </w:rPr>
              <w:t>Justice and Administration Committee on</w:t>
            </w:r>
            <w:r w:rsidR="004A4D99" w:rsidRPr="00452321">
              <w:rPr>
                <w:sz w:val="20"/>
                <w:szCs w:val="20"/>
                <w:lang w:val="sr-Cyrl-CS"/>
              </w:rPr>
              <w:t xml:space="preserve"> 26</w:t>
            </w:r>
            <w:r>
              <w:rPr>
                <w:sz w:val="20"/>
                <w:szCs w:val="20"/>
              </w:rPr>
              <w:t xml:space="preserve"> May</w:t>
            </w:r>
            <w:r w:rsidR="004A4D99" w:rsidRPr="00452321">
              <w:rPr>
                <w:sz w:val="20"/>
                <w:szCs w:val="20"/>
                <w:lang w:val="sr-Cyrl-CS"/>
              </w:rPr>
              <w:t xml:space="preserve"> </w:t>
            </w:r>
            <w:r>
              <w:rPr>
                <w:sz w:val="20"/>
                <w:szCs w:val="20"/>
              </w:rPr>
              <w:t>considered</w:t>
            </w:r>
            <w:r w:rsidR="004A4D99" w:rsidRPr="00452321">
              <w:rPr>
                <w:sz w:val="20"/>
                <w:szCs w:val="20"/>
                <w:lang w:val="sr-Cyrl-CS"/>
              </w:rPr>
              <w:t xml:space="preserve">, </w:t>
            </w:r>
            <w:r w:rsidR="00CF74BA">
              <w:rPr>
                <w:sz w:val="20"/>
                <w:szCs w:val="20"/>
              </w:rPr>
              <w:t>determined draft conclusion</w:t>
            </w:r>
            <w:r w:rsidR="004A4D99" w:rsidRPr="00452321">
              <w:rPr>
                <w:sz w:val="20"/>
                <w:szCs w:val="20"/>
                <w:lang w:val="sr-Cyrl-CS"/>
              </w:rPr>
              <w:t xml:space="preserve"> 21</w:t>
            </w:r>
            <w:r w:rsidR="00CF74BA">
              <w:rPr>
                <w:sz w:val="20"/>
                <w:szCs w:val="20"/>
              </w:rPr>
              <w:t xml:space="preserve"> June</w:t>
            </w:r>
            <w:r w:rsidR="004A4D99" w:rsidRPr="00452321">
              <w:rPr>
                <w:sz w:val="20"/>
                <w:szCs w:val="20"/>
                <w:lang w:val="sr-Cyrl-CS"/>
              </w:rPr>
              <w:t xml:space="preserve"> 2011</w:t>
            </w:r>
          </w:p>
        </w:tc>
        <w:tc>
          <w:tcPr>
            <w:tcW w:w="1501" w:type="dxa"/>
          </w:tcPr>
          <w:p w:rsidR="004A4D99" w:rsidRPr="00452321" w:rsidRDefault="004A4D99" w:rsidP="00F54D6F">
            <w:pPr>
              <w:rPr>
                <w:sz w:val="20"/>
                <w:szCs w:val="20"/>
                <w:lang w:val="sr-Cyrl-CS"/>
              </w:rPr>
            </w:pPr>
            <w:r w:rsidRPr="00452321">
              <w:rPr>
                <w:sz w:val="20"/>
                <w:szCs w:val="20"/>
                <w:lang w:val="sr-Cyrl-CS"/>
              </w:rPr>
              <w:t>4</w:t>
            </w:r>
            <w:r w:rsidR="00F54D6F" w:rsidRPr="00F54D6F">
              <w:rPr>
                <w:sz w:val="20"/>
                <w:szCs w:val="20"/>
                <w:vertAlign w:val="superscript"/>
              </w:rPr>
              <w:t>th</w:t>
            </w:r>
            <w:r w:rsidR="00F54D6F">
              <w:rPr>
                <w:sz w:val="20"/>
                <w:szCs w:val="20"/>
              </w:rPr>
              <w:t xml:space="preserve"> and</w:t>
            </w:r>
            <w:r w:rsidRPr="00452321">
              <w:rPr>
                <w:sz w:val="20"/>
                <w:szCs w:val="20"/>
                <w:lang w:val="sr-Cyrl-CS"/>
              </w:rPr>
              <w:t xml:space="preserve"> 5</w:t>
            </w:r>
            <w:r w:rsidR="00F54D6F" w:rsidRPr="00F54D6F">
              <w:rPr>
                <w:sz w:val="20"/>
                <w:szCs w:val="20"/>
                <w:vertAlign w:val="superscript"/>
              </w:rPr>
              <w:t>th</w:t>
            </w:r>
            <w:r w:rsidR="00F54D6F">
              <w:rPr>
                <w:sz w:val="20"/>
                <w:szCs w:val="20"/>
              </w:rPr>
              <w:t xml:space="preserve"> extraordinary sitting</w:t>
            </w:r>
            <w:r w:rsidRPr="00452321">
              <w:rPr>
                <w:sz w:val="20"/>
                <w:szCs w:val="20"/>
                <w:lang w:val="sr-Cyrl-CS"/>
              </w:rPr>
              <w:t xml:space="preserve"> 27</w:t>
            </w:r>
            <w:r w:rsidR="00F54D6F">
              <w:rPr>
                <w:sz w:val="20"/>
                <w:szCs w:val="20"/>
              </w:rPr>
              <w:t xml:space="preserve"> June</w:t>
            </w:r>
            <w:r w:rsidRPr="00452321">
              <w:rPr>
                <w:sz w:val="20"/>
                <w:szCs w:val="20"/>
                <w:lang w:val="sr-Cyrl-CS"/>
              </w:rPr>
              <w:t xml:space="preserve"> 2011</w:t>
            </w:r>
          </w:p>
        </w:tc>
        <w:tc>
          <w:tcPr>
            <w:tcW w:w="1680" w:type="dxa"/>
          </w:tcPr>
          <w:p w:rsidR="004A4D99" w:rsidRPr="00452321" w:rsidRDefault="004A4D99" w:rsidP="00AB662C">
            <w:pPr>
              <w:rPr>
                <w:sz w:val="20"/>
                <w:szCs w:val="20"/>
                <w:lang w:val="sr-Cyrl-CS"/>
              </w:rPr>
            </w:pPr>
            <w:r w:rsidRPr="00452321">
              <w:rPr>
                <w:sz w:val="20"/>
                <w:szCs w:val="20"/>
                <w:lang w:val="sr-Cyrl-CS"/>
              </w:rPr>
              <w:t>/</w:t>
            </w:r>
          </w:p>
        </w:tc>
      </w:tr>
      <w:tr w:rsidR="004A4D99" w:rsidRPr="00452321" w:rsidTr="0072552D">
        <w:tc>
          <w:tcPr>
            <w:tcW w:w="1974" w:type="dxa"/>
          </w:tcPr>
          <w:p w:rsidR="004A4D99" w:rsidRPr="00452321" w:rsidRDefault="00D61BE3" w:rsidP="00D61BE3">
            <w:pPr>
              <w:rPr>
                <w:sz w:val="20"/>
                <w:szCs w:val="20"/>
                <w:lang w:val="sr-Cyrl-CS"/>
              </w:rPr>
            </w:pPr>
            <w:r>
              <w:rPr>
                <w:sz w:val="20"/>
                <w:szCs w:val="20"/>
                <w:lang/>
              </w:rPr>
              <w:t>State Audit Institution</w:t>
            </w:r>
          </w:p>
        </w:tc>
        <w:tc>
          <w:tcPr>
            <w:tcW w:w="1374" w:type="dxa"/>
          </w:tcPr>
          <w:p w:rsidR="004A4D99" w:rsidRPr="00452321" w:rsidRDefault="004A4D99" w:rsidP="00AB662C">
            <w:pPr>
              <w:rPr>
                <w:sz w:val="20"/>
                <w:szCs w:val="20"/>
                <w:lang w:val="sr-Cyrl-CS"/>
              </w:rPr>
            </w:pPr>
            <w:r w:rsidRPr="00452321">
              <w:rPr>
                <w:sz w:val="20"/>
                <w:szCs w:val="20"/>
                <w:lang/>
              </w:rPr>
              <w:t>31.03.</w:t>
            </w:r>
            <w:r w:rsidRPr="00452321">
              <w:rPr>
                <w:sz w:val="20"/>
                <w:szCs w:val="20"/>
                <w:lang w:val="sr-Cyrl-CS"/>
              </w:rPr>
              <w:t xml:space="preserve"> 2011.</w:t>
            </w:r>
          </w:p>
        </w:tc>
        <w:tc>
          <w:tcPr>
            <w:tcW w:w="1377" w:type="dxa"/>
          </w:tcPr>
          <w:p w:rsidR="004A4D99" w:rsidRPr="009214A0" w:rsidRDefault="004A4D99" w:rsidP="00AB662C">
            <w:pPr>
              <w:rPr>
                <w:sz w:val="20"/>
                <w:szCs w:val="20"/>
              </w:rPr>
            </w:pPr>
            <w:r>
              <w:rPr>
                <w:sz w:val="20"/>
                <w:szCs w:val="20"/>
              </w:rPr>
              <w:t>29.03.2011.</w:t>
            </w:r>
          </w:p>
        </w:tc>
        <w:tc>
          <w:tcPr>
            <w:tcW w:w="1503" w:type="dxa"/>
          </w:tcPr>
          <w:p w:rsidR="004A4D99" w:rsidRPr="009D47AE" w:rsidRDefault="004A4D99" w:rsidP="00AB662C">
            <w:pPr>
              <w:rPr>
                <w:sz w:val="20"/>
                <w:szCs w:val="20"/>
              </w:rPr>
            </w:pPr>
            <w:r>
              <w:rPr>
                <w:sz w:val="20"/>
                <w:szCs w:val="20"/>
              </w:rPr>
              <w:t>29.04.2011.</w:t>
            </w:r>
          </w:p>
        </w:tc>
        <w:tc>
          <w:tcPr>
            <w:tcW w:w="1440" w:type="dxa"/>
          </w:tcPr>
          <w:p w:rsidR="004A4D99" w:rsidRPr="00452321" w:rsidRDefault="004A4D99" w:rsidP="00AB662C">
            <w:pPr>
              <w:rPr>
                <w:sz w:val="20"/>
                <w:szCs w:val="20"/>
                <w:lang w:val="sr-Cyrl-CS"/>
              </w:rPr>
            </w:pPr>
            <w:r w:rsidRPr="00452321">
              <w:rPr>
                <w:sz w:val="20"/>
                <w:szCs w:val="20"/>
                <w:lang w:val="sr-Cyrl-CS"/>
              </w:rPr>
              <w:t>23</w:t>
            </w:r>
            <w:r w:rsidR="00F54D6F">
              <w:rPr>
                <w:sz w:val="20"/>
                <w:szCs w:val="20"/>
              </w:rPr>
              <w:t xml:space="preserve"> May</w:t>
            </w:r>
            <w:r w:rsidRPr="00452321">
              <w:rPr>
                <w:sz w:val="20"/>
                <w:szCs w:val="20"/>
                <w:lang w:val="sr-Cyrl-CS"/>
              </w:rPr>
              <w:t>, 7</w:t>
            </w:r>
            <w:r w:rsidR="00F54D6F">
              <w:rPr>
                <w:sz w:val="20"/>
                <w:szCs w:val="20"/>
              </w:rPr>
              <w:t xml:space="preserve"> June</w:t>
            </w:r>
          </w:p>
        </w:tc>
        <w:tc>
          <w:tcPr>
            <w:tcW w:w="3059" w:type="dxa"/>
          </w:tcPr>
          <w:p w:rsidR="004A4D99" w:rsidRPr="00452321" w:rsidRDefault="00F54D6F" w:rsidP="00F54D6F">
            <w:pPr>
              <w:rPr>
                <w:sz w:val="20"/>
                <w:szCs w:val="20"/>
                <w:lang/>
              </w:rPr>
            </w:pPr>
            <w:r>
              <w:rPr>
                <w:sz w:val="20"/>
                <w:szCs w:val="20"/>
              </w:rPr>
              <w:t>Finance Committe</w:t>
            </w:r>
            <w:r w:rsidR="00194A45">
              <w:rPr>
                <w:sz w:val="20"/>
                <w:szCs w:val="20"/>
              </w:rPr>
              <w:t xml:space="preserve">e considered at the sitting on </w:t>
            </w:r>
            <w:r w:rsidR="004A4D99" w:rsidRPr="00452321">
              <w:rPr>
                <w:sz w:val="20"/>
                <w:szCs w:val="20"/>
                <w:lang w:val="sr-Cyrl-CS"/>
              </w:rPr>
              <w:t>23</w:t>
            </w:r>
            <w:r>
              <w:rPr>
                <w:sz w:val="20"/>
                <w:szCs w:val="20"/>
              </w:rPr>
              <w:t xml:space="preserve"> May and</w:t>
            </w:r>
            <w:r w:rsidR="004A4D99" w:rsidRPr="00452321">
              <w:rPr>
                <w:sz w:val="20"/>
                <w:szCs w:val="20"/>
                <w:lang w:val="sr-Cyrl-CS"/>
              </w:rPr>
              <w:t xml:space="preserve"> 7</w:t>
            </w:r>
            <w:r>
              <w:rPr>
                <w:sz w:val="20"/>
                <w:szCs w:val="20"/>
              </w:rPr>
              <w:t xml:space="preserve"> June</w:t>
            </w:r>
            <w:r w:rsidR="004A4D99" w:rsidRPr="00452321">
              <w:rPr>
                <w:sz w:val="20"/>
                <w:szCs w:val="20"/>
                <w:lang w:val="sr-Cyrl-CS"/>
              </w:rPr>
              <w:t xml:space="preserve"> 2011, </w:t>
            </w:r>
            <w:r>
              <w:rPr>
                <w:sz w:val="20"/>
                <w:szCs w:val="20"/>
              </w:rPr>
              <w:t xml:space="preserve">conclusion </w:t>
            </w:r>
            <w:r>
              <w:rPr>
                <w:sz w:val="20"/>
                <w:szCs w:val="20"/>
                <w:lang w:val="sr-Cyrl-CS"/>
              </w:rPr>
              <w:t>–</w:t>
            </w:r>
            <w:r w:rsidR="004A4D99" w:rsidRPr="00452321">
              <w:rPr>
                <w:sz w:val="20"/>
                <w:szCs w:val="20"/>
                <w:lang w:val="sr-Cyrl-CS"/>
              </w:rPr>
              <w:t xml:space="preserve"> </w:t>
            </w:r>
            <w:r>
              <w:rPr>
                <w:sz w:val="20"/>
                <w:szCs w:val="20"/>
              </w:rPr>
              <w:t>report is adopted</w:t>
            </w:r>
          </w:p>
        </w:tc>
        <w:tc>
          <w:tcPr>
            <w:tcW w:w="1501" w:type="dxa"/>
          </w:tcPr>
          <w:p w:rsidR="00F54D6F" w:rsidRDefault="00F54D6F" w:rsidP="00AB662C">
            <w:pPr>
              <w:rPr>
                <w:sz w:val="20"/>
                <w:szCs w:val="20"/>
              </w:rPr>
            </w:pPr>
            <w:r w:rsidRPr="00452321">
              <w:rPr>
                <w:sz w:val="20"/>
                <w:szCs w:val="20"/>
                <w:lang w:val="sr-Cyrl-CS"/>
              </w:rPr>
              <w:t>4</w:t>
            </w:r>
            <w:r w:rsidRPr="00F54D6F">
              <w:rPr>
                <w:sz w:val="20"/>
                <w:szCs w:val="20"/>
                <w:vertAlign w:val="superscript"/>
              </w:rPr>
              <w:t>th</w:t>
            </w:r>
            <w:r>
              <w:rPr>
                <w:sz w:val="20"/>
                <w:szCs w:val="20"/>
              </w:rPr>
              <w:t xml:space="preserve"> and</w:t>
            </w:r>
            <w:r w:rsidRPr="00452321">
              <w:rPr>
                <w:sz w:val="20"/>
                <w:szCs w:val="20"/>
                <w:lang w:val="sr-Cyrl-CS"/>
              </w:rPr>
              <w:t xml:space="preserve"> 5</w:t>
            </w:r>
            <w:r w:rsidRPr="00F54D6F">
              <w:rPr>
                <w:sz w:val="20"/>
                <w:szCs w:val="20"/>
                <w:vertAlign w:val="superscript"/>
              </w:rPr>
              <w:t>th</w:t>
            </w:r>
            <w:r>
              <w:rPr>
                <w:sz w:val="20"/>
                <w:szCs w:val="20"/>
              </w:rPr>
              <w:t xml:space="preserve"> extraordinary sitting</w:t>
            </w:r>
            <w:r w:rsidRPr="00452321">
              <w:rPr>
                <w:sz w:val="20"/>
                <w:szCs w:val="20"/>
                <w:lang w:val="sr-Cyrl-CS"/>
              </w:rPr>
              <w:t xml:space="preserve"> 27</w:t>
            </w:r>
            <w:r>
              <w:rPr>
                <w:sz w:val="20"/>
                <w:szCs w:val="20"/>
              </w:rPr>
              <w:t xml:space="preserve"> June</w:t>
            </w:r>
            <w:r w:rsidRPr="00452321">
              <w:rPr>
                <w:sz w:val="20"/>
                <w:szCs w:val="20"/>
                <w:lang w:val="sr-Cyrl-CS"/>
              </w:rPr>
              <w:t xml:space="preserve"> 2011</w:t>
            </w:r>
          </w:p>
          <w:p w:rsidR="004A4D99" w:rsidRPr="00452321" w:rsidRDefault="004A4D99" w:rsidP="00F54D6F">
            <w:pPr>
              <w:rPr>
                <w:sz w:val="20"/>
                <w:szCs w:val="20"/>
                <w:lang/>
              </w:rPr>
            </w:pPr>
            <w:r w:rsidRPr="00452321">
              <w:rPr>
                <w:sz w:val="20"/>
                <w:szCs w:val="20"/>
                <w:lang w:val="sr-Cyrl-CS"/>
              </w:rPr>
              <w:t>3</w:t>
            </w:r>
            <w:r w:rsidR="00F54D6F" w:rsidRPr="00F54D6F">
              <w:rPr>
                <w:sz w:val="20"/>
                <w:szCs w:val="20"/>
                <w:vertAlign w:val="superscript"/>
              </w:rPr>
              <w:t>rd</w:t>
            </w:r>
            <w:r w:rsidR="00F54D6F">
              <w:rPr>
                <w:sz w:val="20"/>
                <w:szCs w:val="20"/>
              </w:rPr>
              <w:t xml:space="preserve"> extraordinary sitting</w:t>
            </w:r>
            <w:r w:rsidRPr="00452321">
              <w:rPr>
                <w:sz w:val="20"/>
                <w:szCs w:val="20"/>
                <w:lang w:val="sr-Cyrl-CS"/>
              </w:rPr>
              <w:t xml:space="preserve"> – 15</w:t>
            </w:r>
            <w:r w:rsidR="00F54D6F">
              <w:rPr>
                <w:sz w:val="20"/>
                <w:szCs w:val="20"/>
              </w:rPr>
              <w:t xml:space="preserve"> June</w:t>
            </w:r>
            <w:r w:rsidRPr="00452321">
              <w:rPr>
                <w:sz w:val="20"/>
                <w:szCs w:val="20"/>
                <w:lang w:val="sr-Cyrl-CS"/>
              </w:rPr>
              <w:t xml:space="preserve"> 2011</w:t>
            </w:r>
          </w:p>
        </w:tc>
        <w:tc>
          <w:tcPr>
            <w:tcW w:w="1680" w:type="dxa"/>
          </w:tcPr>
          <w:p w:rsidR="004A4D99" w:rsidRPr="00452321" w:rsidRDefault="004A4D99" w:rsidP="00AB662C">
            <w:pPr>
              <w:rPr>
                <w:sz w:val="20"/>
                <w:szCs w:val="20"/>
                <w:lang w:val="sr-Cyrl-CS"/>
              </w:rPr>
            </w:pPr>
            <w:r w:rsidRPr="00452321">
              <w:rPr>
                <w:sz w:val="20"/>
                <w:szCs w:val="20"/>
                <w:lang w:val="sr-Cyrl-CS"/>
              </w:rPr>
              <w:t>/</w:t>
            </w:r>
          </w:p>
        </w:tc>
      </w:tr>
      <w:tr w:rsidR="004A4D99" w:rsidRPr="00452321" w:rsidTr="0072552D">
        <w:tc>
          <w:tcPr>
            <w:tcW w:w="1974" w:type="dxa"/>
          </w:tcPr>
          <w:p w:rsidR="004A4D99" w:rsidRPr="00452321" w:rsidRDefault="00D61BE3" w:rsidP="00D61BE3">
            <w:pPr>
              <w:rPr>
                <w:sz w:val="20"/>
                <w:szCs w:val="20"/>
                <w:lang/>
              </w:rPr>
            </w:pPr>
            <w:r>
              <w:rPr>
                <w:sz w:val="20"/>
                <w:szCs w:val="20"/>
                <w:lang/>
              </w:rPr>
              <w:t>Commissioner for Information of Public Importance and Protection of Personal Data</w:t>
            </w:r>
          </w:p>
        </w:tc>
        <w:tc>
          <w:tcPr>
            <w:tcW w:w="1374" w:type="dxa"/>
          </w:tcPr>
          <w:p w:rsidR="004A4D99" w:rsidRPr="00452321" w:rsidRDefault="004A4D99" w:rsidP="00AB662C">
            <w:pPr>
              <w:rPr>
                <w:sz w:val="20"/>
                <w:szCs w:val="20"/>
                <w:lang w:val="sr-Cyrl-CS"/>
              </w:rPr>
            </w:pPr>
            <w:r w:rsidRPr="00452321">
              <w:rPr>
                <w:sz w:val="20"/>
                <w:szCs w:val="20"/>
                <w:lang/>
              </w:rPr>
              <w:t>31.03.</w:t>
            </w:r>
            <w:r w:rsidRPr="00452321">
              <w:rPr>
                <w:sz w:val="20"/>
                <w:szCs w:val="20"/>
                <w:lang w:val="sr-Cyrl-CS"/>
              </w:rPr>
              <w:t xml:space="preserve"> 2011.</w:t>
            </w:r>
          </w:p>
        </w:tc>
        <w:tc>
          <w:tcPr>
            <w:tcW w:w="1377" w:type="dxa"/>
          </w:tcPr>
          <w:p w:rsidR="004A4D99" w:rsidRPr="009214A0" w:rsidRDefault="004A4D99" w:rsidP="00AB662C">
            <w:pPr>
              <w:rPr>
                <w:sz w:val="20"/>
                <w:szCs w:val="20"/>
              </w:rPr>
            </w:pPr>
            <w:r>
              <w:rPr>
                <w:sz w:val="20"/>
                <w:szCs w:val="20"/>
              </w:rPr>
              <w:t>28.03.2011.</w:t>
            </w:r>
          </w:p>
        </w:tc>
        <w:tc>
          <w:tcPr>
            <w:tcW w:w="1503" w:type="dxa"/>
          </w:tcPr>
          <w:p w:rsidR="004A4D99" w:rsidRPr="009D47AE" w:rsidRDefault="004A4D99" w:rsidP="00AB662C">
            <w:pPr>
              <w:rPr>
                <w:sz w:val="20"/>
                <w:szCs w:val="20"/>
              </w:rPr>
            </w:pPr>
            <w:r>
              <w:rPr>
                <w:sz w:val="20"/>
                <w:szCs w:val="20"/>
              </w:rPr>
              <w:t>28.04.2011</w:t>
            </w:r>
          </w:p>
        </w:tc>
        <w:tc>
          <w:tcPr>
            <w:tcW w:w="1440" w:type="dxa"/>
          </w:tcPr>
          <w:p w:rsidR="004A4D99" w:rsidRPr="00452321" w:rsidRDefault="004A4D99" w:rsidP="00F54D6F">
            <w:pPr>
              <w:rPr>
                <w:sz w:val="20"/>
                <w:szCs w:val="20"/>
                <w:lang w:val="sr-Cyrl-CS"/>
              </w:rPr>
            </w:pPr>
            <w:r w:rsidRPr="00452321">
              <w:rPr>
                <w:sz w:val="20"/>
                <w:szCs w:val="20"/>
                <w:lang w:val="sr-Cyrl-CS"/>
              </w:rPr>
              <w:t>21</w:t>
            </w:r>
            <w:r w:rsidR="00F54D6F">
              <w:rPr>
                <w:sz w:val="20"/>
                <w:szCs w:val="20"/>
              </w:rPr>
              <w:t xml:space="preserve"> April</w:t>
            </w:r>
            <w:r w:rsidRPr="00452321">
              <w:rPr>
                <w:sz w:val="20"/>
                <w:szCs w:val="20"/>
                <w:lang w:val="sr-Cyrl-CS"/>
              </w:rPr>
              <w:t>, 21</w:t>
            </w:r>
            <w:r w:rsidR="00F54D6F">
              <w:rPr>
                <w:sz w:val="20"/>
                <w:szCs w:val="20"/>
              </w:rPr>
              <w:t xml:space="preserve"> June</w:t>
            </w:r>
          </w:p>
        </w:tc>
        <w:tc>
          <w:tcPr>
            <w:tcW w:w="3059" w:type="dxa"/>
          </w:tcPr>
          <w:p w:rsidR="004A4D99" w:rsidRPr="00452321" w:rsidRDefault="00CF74BA" w:rsidP="00AB662C">
            <w:pPr>
              <w:rPr>
                <w:sz w:val="20"/>
                <w:szCs w:val="20"/>
                <w:lang w:val="sr-Cyrl-CS"/>
              </w:rPr>
            </w:pPr>
            <w:r>
              <w:rPr>
                <w:sz w:val="20"/>
                <w:szCs w:val="20"/>
              </w:rPr>
              <w:t>Culture and Administration Committee on</w:t>
            </w:r>
            <w:r w:rsidR="004A4D99" w:rsidRPr="00452321">
              <w:rPr>
                <w:sz w:val="20"/>
                <w:szCs w:val="20"/>
                <w:lang w:val="sr-Cyrl-CS"/>
              </w:rPr>
              <w:t xml:space="preserve"> 21</w:t>
            </w:r>
            <w:r>
              <w:rPr>
                <w:sz w:val="20"/>
                <w:szCs w:val="20"/>
              </w:rPr>
              <w:t xml:space="preserve"> April considered and determined draft conclusion </w:t>
            </w:r>
            <w:r w:rsidR="004A4D99" w:rsidRPr="00452321">
              <w:rPr>
                <w:sz w:val="20"/>
                <w:szCs w:val="20"/>
                <w:lang w:val="sr-Cyrl-CS"/>
              </w:rPr>
              <w:t xml:space="preserve">  </w:t>
            </w:r>
          </w:p>
          <w:p w:rsidR="004A4D99" w:rsidRPr="00452321" w:rsidRDefault="00CF74BA" w:rsidP="00CF74BA">
            <w:pPr>
              <w:rPr>
                <w:sz w:val="20"/>
                <w:szCs w:val="20"/>
                <w:lang w:val="sr-Cyrl-CS"/>
              </w:rPr>
            </w:pPr>
            <w:r>
              <w:rPr>
                <w:sz w:val="20"/>
                <w:szCs w:val="20"/>
              </w:rPr>
              <w:t>Justice and Administration Committee at the sitting on</w:t>
            </w:r>
            <w:r w:rsidR="004A4D99" w:rsidRPr="00452321">
              <w:rPr>
                <w:sz w:val="20"/>
                <w:szCs w:val="20"/>
                <w:lang w:val="sr-Cyrl-CS"/>
              </w:rPr>
              <w:t xml:space="preserve"> 21</w:t>
            </w:r>
            <w:r>
              <w:rPr>
                <w:sz w:val="20"/>
                <w:szCs w:val="20"/>
              </w:rPr>
              <w:t xml:space="preserve"> June</w:t>
            </w:r>
            <w:r w:rsidR="004A4D99" w:rsidRPr="00452321">
              <w:rPr>
                <w:sz w:val="20"/>
                <w:szCs w:val="20"/>
                <w:lang w:val="sr-Cyrl-CS"/>
              </w:rPr>
              <w:t xml:space="preserve"> 2011 </w:t>
            </w:r>
            <w:r>
              <w:rPr>
                <w:sz w:val="20"/>
                <w:szCs w:val="20"/>
              </w:rPr>
              <w:t>considered the report</w:t>
            </w:r>
          </w:p>
        </w:tc>
        <w:tc>
          <w:tcPr>
            <w:tcW w:w="1501" w:type="dxa"/>
          </w:tcPr>
          <w:p w:rsidR="004A4D99" w:rsidRPr="00452321" w:rsidRDefault="00F54D6F" w:rsidP="00AB662C">
            <w:pPr>
              <w:rPr>
                <w:sz w:val="20"/>
                <w:szCs w:val="20"/>
                <w:lang w:val="sr-Cyrl-CS"/>
              </w:rPr>
            </w:pPr>
            <w:r w:rsidRPr="00452321">
              <w:rPr>
                <w:sz w:val="20"/>
                <w:szCs w:val="20"/>
                <w:lang w:val="sr-Cyrl-CS"/>
              </w:rPr>
              <w:t>4</w:t>
            </w:r>
            <w:r w:rsidRPr="00F54D6F">
              <w:rPr>
                <w:sz w:val="20"/>
                <w:szCs w:val="20"/>
                <w:vertAlign w:val="superscript"/>
              </w:rPr>
              <w:t>th</w:t>
            </w:r>
            <w:r>
              <w:rPr>
                <w:sz w:val="20"/>
                <w:szCs w:val="20"/>
              </w:rPr>
              <w:t xml:space="preserve"> and</w:t>
            </w:r>
            <w:r w:rsidRPr="00452321">
              <w:rPr>
                <w:sz w:val="20"/>
                <w:szCs w:val="20"/>
                <w:lang w:val="sr-Cyrl-CS"/>
              </w:rPr>
              <w:t xml:space="preserve"> 5</w:t>
            </w:r>
            <w:r w:rsidRPr="00F54D6F">
              <w:rPr>
                <w:sz w:val="20"/>
                <w:szCs w:val="20"/>
                <w:vertAlign w:val="superscript"/>
              </w:rPr>
              <w:t>th</w:t>
            </w:r>
            <w:r>
              <w:rPr>
                <w:sz w:val="20"/>
                <w:szCs w:val="20"/>
              </w:rPr>
              <w:t xml:space="preserve"> extraordinary sitting</w:t>
            </w:r>
            <w:r w:rsidRPr="00452321">
              <w:rPr>
                <w:sz w:val="20"/>
                <w:szCs w:val="20"/>
                <w:lang w:val="sr-Cyrl-CS"/>
              </w:rPr>
              <w:t xml:space="preserve"> 27</w:t>
            </w:r>
            <w:r>
              <w:rPr>
                <w:sz w:val="20"/>
                <w:szCs w:val="20"/>
              </w:rPr>
              <w:t xml:space="preserve"> June</w:t>
            </w:r>
            <w:r w:rsidRPr="00452321">
              <w:rPr>
                <w:sz w:val="20"/>
                <w:szCs w:val="20"/>
                <w:lang w:val="sr-Cyrl-CS"/>
              </w:rPr>
              <w:t xml:space="preserve"> 2011</w:t>
            </w:r>
          </w:p>
        </w:tc>
        <w:tc>
          <w:tcPr>
            <w:tcW w:w="1680" w:type="dxa"/>
          </w:tcPr>
          <w:p w:rsidR="004A4D99" w:rsidRPr="00452321" w:rsidRDefault="004A4D99" w:rsidP="00AB662C">
            <w:pPr>
              <w:rPr>
                <w:sz w:val="20"/>
                <w:szCs w:val="20"/>
                <w:lang w:val="sr-Cyrl-CS"/>
              </w:rPr>
            </w:pPr>
            <w:r w:rsidRPr="00452321">
              <w:rPr>
                <w:sz w:val="20"/>
                <w:szCs w:val="20"/>
                <w:lang w:val="sr-Cyrl-CS"/>
              </w:rPr>
              <w:t>/</w:t>
            </w:r>
          </w:p>
        </w:tc>
      </w:tr>
      <w:tr w:rsidR="004A4D99" w:rsidRPr="00452321" w:rsidTr="0072552D">
        <w:tc>
          <w:tcPr>
            <w:tcW w:w="1974" w:type="dxa"/>
          </w:tcPr>
          <w:p w:rsidR="004A4D99" w:rsidRPr="00452321" w:rsidRDefault="00D61BE3" w:rsidP="00D61BE3">
            <w:pPr>
              <w:rPr>
                <w:sz w:val="20"/>
                <w:szCs w:val="20"/>
                <w:lang/>
              </w:rPr>
            </w:pPr>
            <w:r>
              <w:rPr>
                <w:sz w:val="20"/>
                <w:szCs w:val="20"/>
                <w:lang/>
              </w:rPr>
              <w:t>Anticorruption Agency</w:t>
            </w:r>
          </w:p>
        </w:tc>
        <w:tc>
          <w:tcPr>
            <w:tcW w:w="1374" w:type="dxa"/>
          </w:tcPr>
          <w:p w:rsidR="004A4D99" w:rsidRPr="00452321" w:rsidRDefault="004A4D99" w:rsidP="00AB662C">
            <w:pPr>
              <w:rPr>
                <w:sz w:val="20"/>
                <w:szCs w:val="20"/>
                <w:lang w:val="sr-Cyrl-CS"/>
              </w:rPr>
            </w:pPr>
            <w:r w:rsidRPr="00452321">
              <w:rPr>
                <w:sz w:val="20"/>
                <w:szCs w:val="20"/>
                <w:lang/>
              </w:rPr>
              <w:t>31.03.</w:t>
            </w:r>
            <w:r w:rsidRPr="00452321">
              <w:rPr>
                <w:sz w:val="20"/>
                <w:szCs w:val="20"/>
                <w:lang w:val="sr-Cyrl-CS"/>
              </w:rPr>
              <w:t xml:space="preserve"> 2011.</w:t>
            </w:r>
          </w:p>
        </w:tc>
        <w:tc>
          <w:tcPr>
            <w:tcW w:w="1377" w:type="dxa"/>
          </w:tcPr>
          <w:p w:rsidR="004A4D99" w:rsidRPr="009214A0" w:rsidRDefault="004A4D99" w:rsidP="00AB662C">
            <w:pPr>
              <w:rPr>
                <w:sz w:val="20"/>
                <w:szCs w:val="20"/>
              </w:rPr>
            </w:pPr>
            <w:r>
              <w:rPr>
                <w:sz w:val="20"/>
                <w:szCs w:val="20"/>
              </w:rPr>
              <w:t>25.03.2011</w:t>
            </w:r>
          </w:p>
        </w:tc>
        <w:tc>
          <w:tcPr>
            <w:tcW w:w="1503" w:type="dxa"/>
          </w:tcPr>
          <w:p w:rsidR="004A4D99" w:rsidRPr="009D47AE" w:rsidRDefault="004A4D99" w:rsidP="00AB662C">
            <w:pPr>
              <w:rPr>
                <w:sz w:val="20"/>
                <w:szCs w:val="20"/>
              </w:rPr>
            </w:pPr>
            <w:r>
              <w:rPr>
                <w:sz w:val="20"/>
                <w:szCs w:val="20"/>
              </w:rPr>
              <w:t>25.04.2011</w:t>
            </w:r>
          </w:p>
        </w:tc>
        <w:tc>
          <w:tcPr>
            <w:tcW w:w="1440" w:type="dxa"/>
          </w:tcPr>
          <w:p w:rsidR="004A4D99" w:rsidRPr="00452321" w:rsidRDefault="004A4D99" w:rsidP="00AB662C">
            <w:pPr>
              <w:rPr>
                <w:sz w:val="20"/>
                <w:szCs w:val="20"/>
                <w:lang w:val="sr-Cyrl-CS"/>
              </w:rPr>
            </w:pPr>
            <w:r w:rsidRPr="00452321">
              <w:rPr>
                <w:sz w:val="20"/>
                <w:szCs w:val="20"/>
                <w:lang w:val="sr-Cyrl-CS"/>
              </w:rPr>
              <w:t>21</w:t>
            </w:r>
            <w:r w:rsidR="00F54D6F">
              <w:rPr>
                <w:sz w:val="20"/>
                <w:szCs w:val="20"/>
              </w:rPr>
              <w:t xml:space="preserve"> June</w:t>
            </w:r>
          </w:p>
        </w:tc>
        <w:tc>
          <w:tcPr>
            <w:tcW w:w="3059" w:type="dxa"/>
          </w:tcPr>
          <w:p w:rsidR="004A4D99" w:rsidRPr="00452321" w:rsidRDefault="00CF74BA" w:rsidP="00CF74BA">
            <w:pPr>
              <w:rPr>
                <w:sz w:val="20"/>
                <w:szCs w:val="20"/>
                <w:lang w:val="sr-Cyrl-CS"/>
              </w:rPr>
            </w:pPr>
            <w:r>
              <w:rPr>
                <w:sz w:val="20"/>
                <w:szCs w:val="20"/>
              </w:rPr>
              <w:t>Justice and Administration Committee</w:t>
            </w:r>
            <w:r w:rsidRPr="00452321">
              <w:rPr>
                <w:sz w:val="20"/>
                <w:szCs w:val="20"/>
                <w:lang w:val="sr-Cyrl-CS"/>
              </w:rPr>
              <w:t xml:space="preserve"> </w:t>
            </w:r>
            <w:r>
              <w:rPr>
                <w:sz w:val="20"/>
                <w:szCs w:val="20"/>
              </w:rPr>
              <w:t xml:space="preserve">on </w:t>
            </w:r>
            <w:r w:rsidR="004A4D99" w:rsidRPr="00452321">
              <w:rPr>
                <w:sz w:val="20"/>
                <w:szCs w:val="20"/>
                <w:lang w:val="sr-Cyrl-CS"/>
              </w:rPr>
              <w:t>21</w:t>
            </w:r>
            <w:r>
              <w:rPr>
                <w:sz w:val="20"/>
                <w:szCs w:val="20"/>
              </w:rPr>
              <w:t xml:space="preserve"> June</w:t>
            </w:r>
            <w:r w:rsidR="004A4D99" w:rsidRPr="00452321">
              <w:rPr>
                <w:sz w:val="20"/>
                <w:szCs w:val="20"/>
                <w:lang w:val="sr-Cyrl-CS"/>
              </w:rPr>
              <w:t xml:space="preserve"> 2011</w:t>
            </w:r>
            <w:r>
              <w:rPr>
                <w:sz w:val="20"/>
                <w:szCs w:val="20"/>
              </w:rPr>
              <w:t xml:space="preserve"> considered the report</w:t>
            </w:r>
            <w:r w:rsidR="004A4D99" w:rsidRPr="00452321">
              <w:rPr>
                <w:sz w:val="20"/>
                <w:szCs w:val="20"/>
                <w:lang w:val="sr-Cyrl-CS"/>
              </w:rPr>
              <w:t xml:space="preserve">, </w:t>
            </w:r>
            <w:r>
              <w:rPr>
                <w:sz w:val="20"/>
                <w:szCs w:val="20"/>
              </w:rPr>
              <w:t>on which National Assembly will speak out in one of the following sittings</w:t>
            </w:r>
          </w:p>
        </w:tc>
        <w:tc>
          <w:tcPr>
            <w:tcW w:w="1501" w:type="dxa"/>
          </w:tcPr>
          <w:p w:rsidR="004A4D99" w:rsidRPr="00452321" w:rsidRDefault="00F54D6F" w:rsidP="00AB662C">
            <w:pPr>
              <w:rPr>
                <w:sz w:val="20"/>
                <w:szCs w:val="20"/>
                <w:lang w:val="sr-Cyrl-CS"/>
              </w:rPr>
            </w:pPr>
            <w:r w:rsidRPr="00452321">
              <w:rPr>
                <w:sz w:val="20"/>
                <w:szCs w:val="20"/>
                <w:lang w:val="sr-Cyrl-CS"/>
              </w:rPr>
              <w:t>4</w:t>
            </w:r>
            <w:r w:rsidRPr="00F54D6F">
              <w:rPr>
                <w:sz w:val="20"/>
                <w:szCs w:val="20"/>
                <w:vertAlign w:val="superscript"/>
              </w:rPr>
              <w:t>th</w:t>
            </w:r>
            <w:r>
              <w:rPr>
                <w:sz w:val="20"/>
                <w:szCs w:val="20"/>
              </w:rPr>
              <w:t xml:space="preserve"> and</w:t>
            </w:r>
            <w:r w:rsidRPr="00452321">
              <w:rPr>
                <w:sz w:val="20"/>
                <w:szCs w:val="20"/>
                <w:lang w:val="sr-Cyrl-CS"/>
              </w:rPr>
              <w:t xml:space="preserve"> 5</w:t>
            </w:r>
            <w:r w:rsidRPr="00F54D6F">
              <w:rPr>
                <w:sz w:val="20"/>
                <w:szCs w:val="20"/>
                <w:vertAlign w:val="superscript"/>
              </w:rPr>
              <w:t>th</w:t>
            </w:r>
            <w:r>
              <w:rPr>
                <w:sz w:val="20"/>
                <w:szCs w:val="20"/>
              </w:rPr>
              <w:t xml:space="preserve"> extraordinary sitting</w:t>
            </w:r>
            <w:r w:rsidRPr="00452321">
              <w:rPr>
                <w:sz w:val="20"/>
                <w:szCs w:val="20"/>
                <w:lang w:val="sr-Cyrl-CS"/>
              </w:rPr>
              <w:t xml:space="preserve"> 27</w:t>
            </w:r>
            <w:r>
              <w:rPr>
                <w:sz w:val="20"/>
                <w:szCs w:val="20"/>
              </w:rPr>
              <w:t xml:space="preserve"> June</w:t>
            </w:r>
            <w:r w:rsidRPr="00452321">
              <w:rPr>
                <w:sz w:val="20"/>
                <w:szCs w:val="20"/>
                <w:lang w:val="sr-Cyrl-CS"/>
              </w:rPr>
              <w:t xml:space="preserve"> 2011</w:t>
            </w:r>
          </w:p>
        </w:tc>
        <w:tc>
          <w:tcPr>
            <w:tcW w:w="1680" w:type="dxa"/>
          </w:tcPr>
          <w:p w:rsidR="004A4D99" w:rsidRPr="00452321" w:rsidRDefault="004A4D99" w:rsidP="00AB662C">
            <w:pPr>
              <w:rPr>
                <w:sz w:val="20"/>
                <w:szCs w:val="20"/>
                <w:lang w:val="sr-Cyrl-CS"/>
              </w:rPr>
            </w:pPr>
            <w:r w:rsidRPr="00452321">
              <w:rPr>
                <w:sz w:val="20"/>
                <w:szCs w:val="20"/>
                <w:lang w:val="sr-Cyrl-CS"/>
              </w:rPr>
              <w:t>/</w:t>
            </w:r>
          </w:p>
        </w:tc>
      </w:tr>
    </w:tbl>
    <w:p w:rsidR="004A4D99" w:rsidRDefault="004A4D99" w:rsidP="004A4D99">
      <w:pPr>
        <w:rPr>
          <w:lang w:val="sr-Cyrl-CS"/>
        </w:rPr>
      </w:pPr>
    </w:p>
    <w:p w:rsidR="004A4D99" w:rsidRDefault="00D61BE3" w:rsidP="004A4D99">
      <w:pPr>
        <w:pStyle w:val="Clan"/>
        <w:rPr>
          <w:rFonts w:ascii="Times New Roman" w:hAnsi="Times New Roman" w:cs="Times New Roman"/>
          <w:sz w:val="24"/>
          <w:szCs w:val="24"/>
          <w:lang w:val="en-US"/>
        </w:rPr>
      </w:pPr>
      <w:r>
        <w:rPr>
          <w:rFonts w:ascii="Times New Roman" w:hAnsi="Times New Roman" w:cs="Times New Roman"/>
          <w:sz w:val="24"/>
          <w:szCs w:val="24"/>
          <w:lang w:val="en-US"/>
        </w:rPr>
        <w:t>NATIONAL ASSEMBLY’S RULES OF PROCEDURE</w:t>
      </w:r>
    </w:p>
    <w:p w:rsidR="00D61BE3" w:rsidRDefault="00D61BE3" w:rsidP="004A4D99">
      <w:pPr>
        <w:pStyle w:val="Clan"/>
        <w:rPr>
          <w:rFonts w:ascii="Times New Roman" w:hAnsi="Times New Roman" w:cs="Times New Roman"/>
          <w:sz w:val="24"/>
          <w:szCs w:val="24"/>
          <w:lang w:val="ru-RU"/>
        </w:rPr>
      </w:pPr>
    </w:p>
    <w:p w:rsidR="00D61BE3" w:rsidRPr="00D61BE3" w:rsidRDefault="00D61BE3" w:rsidP="00D61BE3">
      <w:pPr>
        <w:pStyle w:val="preamble"/>
        <w:spacing w:before="0" w:beforeAutospacing="0" w:after="174" w:afterAutospacing="0" w:line="336" w:lineRule="atLeast"/>
        <w:rPr>
          <w:i/>
          <w:iCs/>
          <w:color w:val="000000"/>
        </w:rPr>
      </w:pPr>
      <w:r w:rsidRPr="00D61BE3">
        <w:rPr>
          <w:i/>
          <w:iCs/>
          <w:color w:val="000000"/>
        </w:rPr>
        <w:t>17. Procedure for conducting oversight over the work of state institutions, organizations and bodies</w:t>
      </w:r>
    </w:p>
    <w:p w:rsidR="00D61BE3" w:rsidRPr="00D61BE3" w:rsidRDefault="00D61BE3" w:rsidP="00D61BE3">
      <w:pPr>
        <w:pStyle w:val="NormalWeb"/>
        <w:spacing w:before="0" w:beforeAutospacing="0" w:after="0" w:afterAutospacing="0" w:line="221" w:lineRule="atLeast"/>
        <w:jc w:val="center"/>
        <w:rPr>
          <w:color w:val="000000"/>
        </w:rPr>
      </w:pPr>
      <w:r w:rsidRPr="00D61BE3">
        <w:rPr>
          <w:b/>
          <w:bCs/>
          <w:color w:val="000000"/>
          <w:bdr w:val="none" w:sz="0" w:space="0" w:color="auto" w:frame="1"/>
        </w:rPr>
        <w:t>Article 237</w:t>
      </w:r>
    </w:p>
    <w:p w:rsidR="00D61BE3" w:rsidRPr="00D61BE3" w:rsidRDefault="00D61BE3" w:rsidP="00D61BE3">
      <w:pPr>
        <w:pStyle w:val="NormalWeb"/>
        <w:spacing w:before="0" w:beforeAutospacing="0" w:after="174" w:afterAutospacing="0" w:line="221" w:lineRule="atLeast"/>
        <w:rPr>
          <w:color w:val="000000"/>
        </w:rPr>
      </w:pPr>
      <w:r w:rsidRPr="00D61BE3">
        <w:rPr>
          <w:color w:val="000000"/>
        </w:rPr>
        <w:t>The Speaker of the National Assembly shall communicated the reports submitted to the National Assembly by state institutions, organizations and bodies, to MPs and the competent committee, in accordance with the Law.</w:t>
      </w:r>
    </w:p>
    <w:p w:rsidR="00D61BE3" w:rsidRPr="00D61BE3" w:rsidRDefault="00D61BE3" w:rsidP="00D61BE3">
      <w:pPr>
        <w:pStyle w:val="NormalWeb"/>
        <w:spacing w:before="0" w:beforeAutospacing="0" w:after="174" w:afterAutospacing="0" w:line="221" w:lineRule="atLeast"/>
        <w:rPr>
          <w:color w:val="000000"/>
        </w:rPr>
      </w:pPr>
      <w:r w:rsidRPr="00D61BE3">
        <w:rPr>
          <w:color w:val="000000"/>
        </w:rPr>
        <w:t>The competent committee shall consider the report from paragraph 1 of this Article within 30 days from the day of submittal of the report to the National Assembly.</w:t>
      </w:r>
    </w:p>
    <w:p w:rsidR="00D61BE3" w:rsidRPr="00D61BE3" w:rsidRDefault="00D61BE3" w:rsidP="00D61BE3">
      <w:pPr>
        <w:pStyle w:val="NormalWeb"/>
        <w:spacing w:before="0" w:beforeAutospacing="0" w:after="174" w:afterAutospacing="0" w:line="221" w:lineRule="atLeast"/>
        <w:rPr>
          <w:color w:val="000000"/>
        </w:rPr>
      </w:pPr>
      <w:r w:rsidRPr="00D61BE3">
        <w:rPr>
          <w:color w:val="000000"/>
        </w:rPr>
        <w:t>The representative of the state institution, organization or body whose report is being considered shall be invited to the sitting of the competent committee.</w:t>
      </w:r>
    </w:p>
    <w:p w:rsidR="00D61BE3" w:rsidRPr="00D61BE3" w:rsidRDefault="00D61BE3" w:rsidP="00D61BE3">
      <w:pPr>
        <w:pStyle w:val="NormalWeb"/>
        <w:spacing w:before="0" w:beforeAutospacing="0" w:after="174" w:afterAutospacing="0" w:line="221" w:lineRule="atLeast"/>
        <w:rPr>
          <w:color w:val="000000"/>
        </w:rPr>
      </w:pPr>
      <w:r w:rsidRPr="00D61BE3">
        <w:rPr>
          <w:color w:val="000000"/>
        </w:rPr>
        <w:t>Upon consideration of the report referred to in paragraph 1, the competent committee shall submit a report to the National Assembly together with its the draft conclusion or recommendation.</w:t>
      </w:r>
    </w:p>
    <w:p w:rsidR="00D61BE3" w:rsidRPr="00D61BE3" w:rsidRDefault="00D61BE3" w:rsidP="00D61BE3">
      <w:pPr>
        <w:pStyle w:val="NormalWeb"/>
        <w:spacing w:before="0" w:beforeAutospacing="0" w:after="174" w:afterAutospacing="0" w:line="221" w:lineRule="atLeast"/>
        <w:rPr>
          <w:color w:val="000000"/>
        </w:rPr>
      </w:pPr>
      <w:r w:rsidRPr="00D61BE3">
        <w:rPr>
          <w:color w:val="000000"/>
        </w:rPr>
        <w:t>In the draft conclusion or recommendation referred to in paragraph 4 of this Article, unless otherwise stipulated by the Law, the competent committee may recommend to the National Assembly the following:</w:t>
      </w:r>
    </w:p>
    <w:p w:rsidR="00D61BE3" w:rsidRPr="00D61BE3" w:rsidRDefault="00D61BE3" w:rsidP="00D61BE3">
      <w:pPr>
        <w:numPr>
          <w:ilvl w:val="0"/>
          <w:numId w:val="4"/>
        </w:numPr>
        <w:spacing w:before="100" w:beforeAutospacing="1" w:after="100" w:afterAutospacing="1" w:line="221" w:lineRule="atLeast"/>
        <w:ind w:left="480"/>
        <w:rPr>
          <w:color w:val="000000"/>
        </w:rPr>
      </w:pPr>
      <w:r w:rsidRPr="00D61BE3">
        <w:rPr>
          <w:color w:val="000000"/>
        </w:rPr>
        <w:t>to accept the report of the state institution, organization or body, if the report is considered formally and essentially complete and if the state institution, organization or body has acted in accordance with the Law,</w:t>
      </w:r>
    </w:p>
    <w:p w:rsidR="00D61BE3" w:rsidRPr="00D61BE3" w:rsidRDefault="00D61BE3" w:rsidP="00D61BE3">
      <w:pPr>
        <w:numPr>
          <w:ilvl w:val="0"/>
          <w:numId w:val="4"/>
        </w:numPr>
        <w:spacing w:before="100" w:beforeAutospacing="1" w:after="100" w:afterAutospacing="1" w:line="221" w:lineRule="atLeast"/>
        <w:ind w:left="480"/>
        <w:rPr>
          <w:color w:val="000000"/>
        </w:rPr>
      </w:pPr>
      <w:r w:rsidRPr="00D61BE3">
        <w:rPr>
          <w:color w:val="000000"/>
        </w:rPr>
        <w:t>to oblige the Government or other state institutions to undertake appropriate measures or activities within their competences,</w:t>
      </w:r>
    </w:p>
    <w:p w:rsidR="00D61BE3" w:rsidRPr="00D61BE3" w:rsidRDefault="00D61BE3" w:rsidP="00D61BE3">
      <w:pPr>
        <w:numPr>
          <w:ilvl w:val="0"/>
          <w:numId w:val="4"/>
        </w:numPr>
        <w:spacing w:before="100" w:beforeAutospacing="1" w:after="100" w:afterAutospacing="1" w:line="221" w:lineRule="atLeast"/>
        <w:ind w:left="480"/>
        <w:rPr>
          <w:color w:val="000000"/>
        </w:rPr>
      </w:pPr>
      <w:r w:rsidRPr="00D61BE3">
        <w:rPr>
          <w:color w:val="000000"/>
        </w:rPr>
        <w:t>to request an amended to the report from the state institution, organization or body,</w:t>
      </w:r>
    </w:p>
    <w:p w:rsidR="00D61BE3" w:rsidRPr="00D61BE3" w:rsidRDefault="00D61BE3" w:rsidP="00D61BE3">
      <w:pPr>
        <w:numPr>
          <w:ilvl w:val="0"/>
          <w:numId w:val="4"/>
        </w:numPr>
        <w:spacing w:before="100" w:beforeAutospacing="1" w:after="100" w:afterAutospacing="1" w:line="221" w:lineRule="atLeast"/>
        <w:ind w:left="480"/>
        <w:rPr>
          <w:color w:val="000000"/>
        </w:rPr>
      </w:pPr>
      <w:r w:rsidRPr="00D61BE3">
        <w:rPr>
          <w:color w:val="000000"/>
        </w:rPr>
        <w:t>to undertake appropriate measures in accordance with the Law,</w:t>
      </w:r>
    </w:p>
    <w:p w:rsidR="00D61BE3" w:rsidRPr="00D61BE3" w:rsidRDefault="00D61BE3" w:rsidP="00D61BE3">
      <w:pPr>
        <w:numPr>
          <w:ilvl w:val="0"/>
          <w:numId w:val="4"/>
        </w:numPr>
        <w:spacing w:before="100" w:beforeAutospacing="1" w:after="100" w:afterAutospacing="1" w:line="221" w:lineRule="atLeast"/>
        <w:ind w:left="480"/>
        <w:rPr>
          <w:color w:val="000000"/>
        </w:rPr>
      </w:pPr>
      <w:r w:rsidRPr="00D61BE3">
        <w:rPr>
          <w:color w:val="000000"/>
        </w:rPr>
        <w:t>not to accept the report and initiate the procedure for determining accountability of the state officials in the state institution, organization or body concerned.</w:t>
      </w:r>
    </w:p>
    <w:p w:rsidR="00D61BE3" w:rsidRPr="00D61BE3" w:rsidRDefault="00D61BE3" w:rsidP="00D61BE3">
      <w:pPr>
        <w:pStyle w:val="NormalWeb"/>
        <w:spacing w:before="0" w:beforeAutospacing="0" w:after="0" w:afterAutospacing="0" w:line="221" w:lineRule="atLeast"/>
        <w:jc w:val="center"/>
        <w:rPr>
          <w:color w:val="000000"/>
        </w:rPr>
      </w:pPr>
      <w:r w:rsidRPr="00D61BE3">
        <w:rPr>
          <w:b/>
          <w:bCs/>
          <w:color w:val="000000"/>
          <w:bdr w:val="none" w:sz="0" w:space="0" w:color="auto" w:frame="1"/>
        </w:rPr>
        <w:lastRenderedPageBreak/>
        <w:t>Article 238</w:t>
      </w:r>
    </w:p>
    <w:p w:rsidR="00D61BE3" w:rsidRPr="00D61BE3" w:rsidRDefault="00D61BE3" w:rsidP="00D61BE3">
      <w:pPr>
        <w:pStyle w:val="NormalWeb"/>
        <w:spacing w:before="0" w:beforeAutospacing="0" w:after="174" w:afterAutospacing="0" w:line="221" w:lineRule="atLeast"/>
        <w:rPr>
          <w:color w:val="000000"/>
        </w:rPr>
      </w:pPr>
      <w:r w:rsidRPr="00D61BE3">
        <w:rPr>
          <w:color w:val="000000"/>
        </w:rPr>
        <w:t>The National Assembly shall consider the reports from Article 237, paragraphs 1 and 4 of these Rules of Procedures, the draft conclusion of the competent committee or its recommendations at the first upcoming sitting.</w:t>
      </w:r>
    </w:p>
    <w:p w:rsidR="00D61BE3" w:rsidRPr="00D61BE3" w:rsidRDefault="00D61BE3" w:rsidP="00D61BE3">
      <w:pPr>
        <w:pStyle w:val="NormalWeb"/>
        <w:spacing w:before="0" w:beforeAutospacing="0" w:after="174" w:afterAutospacing="0" w:line="221" w:lineRule="atLeast"/>
        <w:rPr>
          <w:color w:val="000000"/>
        </w:rPr>
      </w:pPr>
      <w:r w:rsidRPr="00D61BE3">
        <w:rPr>
          <w:color w:val="000000"/>
        </w:rPr>
        <w:t>The representative of the state institution, organization or body whose report is being considered shall be invited to the sitting.</w:t>
      </w:r>
    </w:p>
    <w:p w:rsidR="00D61BE3" w:rsidRPr="00D61BE3" w:rsidRDefault="00D61BE3" w:rsidP="00D61BE3">
      <w:pPr>
        <w:pStyle w:val="NormalWeb"/>
        <w:spacing w:before="0" w:beforeAutospacing="0" w:after="174" w:afterAutospacing="0" w:line="221" w:lineRule="atLeast"/>
        <w:rPr>
          <w:color w:val="000000"/>
        </w:rPr>
      </w:pPr>
      <w:r w:rsidRPr="00D61BE3">
        <w:rPr>
          <w:color w:val="000000"/>
        </w:rPr>
        <w:t>The National Assembly, upon concluding the discussion at the sitting attended by the majority of MPs, shall adopt a conclusion or a recommendation by a majority vote.</w:t>
      </w:r>
    </w:p>
    <w:p w:rsidR="00D61BE3" w:rsidRPr="00D61BE3" w:rsidRDefault="00D61BE3" w:rsidP="00D61BE3">
      <w:pPr>
        <w:pStyle w:val="NormalWeb"/>
        <w:spacing w:before="0" w:beforeAutospacing="0" w:after="0" w:afterAutospacing="0" w:line="221" w:lineRule="atLeast"/>
        <w:jc w:val="center"/>
        <w:rPr>
          <w:color w:val="000000"/>
        </w:rPr>
      </w:pPr>
      <w:r w:rsidRPr="00D61BE3">
        <w:rPr>
          <w:b/>
          <w:bCs/>
          <w:color w:val="000000"/>
          <w:bdr w:val="none" w:sz="0" w:space="0" w:color="auto" w:frame="1"/>
        </w:rPr>
        <w:t>Article 239</w:t>
      </w:r>
    </w:p>
    <w:p w:rsidR="00D61BE3" w:rsidRPr="00D61BE3" w:rsidRDefault="00D61BE3" w:rsidP="00D61BE3">
      <w:pPr>
        <w:pStyle w:val="NormalWeb"/>
        <w:spacing w:before="0" w:beforeAutospacing="0" w:after="174" w:afterAutospacing="0" w:line="221" w:lineRule="atLeast"/>
        <w:rPr>
          <w:color w:val="000000"/>
        </w:rPr>
      </w:pPr>
      <w:r w:rsidRPr="00D61BE3">
        <w:rPr>
          <w:color w:val="000000"/>
        </w:rPr>
        <w:t>In case when a state institution, organization or body fails to submit the report to the National Assembly within the time limit prescribed by the Law, or upon a request of a the competent committee, the competent committee shall notify the National Assembly of this failure, for the purpose of undertaking the measures by the National Assembly within its competences, in order to determine accountability of the state official of the state institution, organization or body.</w:t>
      </w:r>
    </w:p>
    <w:p w:rsidR="00D61BE3" w:rsidRPr="00D61BE3" w:rsidRDefault="00D61BE3" w:rsidP="00D61BE3">
      <w:pPr>
        <w:pStyle w:val="NormalWeb"/>
        <w:spacing w:before="0" w:beforeAutospacing="0" w:after="174" w:afterAutospacing="0" w:line="221" w:lineRule="atLeast"/>
        <w:rPr>
          <w:color w:val="000000"/>
        </w:rPr>
      </w:pPr>
      <w:r w:rsidRPr="00D61BE3">
        <w:rPr>
          <w:color w:val="000000"/>
        </w:rPr>
        <w:t>The competent committee may determine that the official of the state institution, organization or body elected by the National Assembly fails to perform his/her public office in accordance with the Law and shall notify the National Assembly thereof in order to undertake measures prescribed by the Law.</w:t>
      </w:r>
    </w:p>
    <w:p w:rsidR="0036575A" w:rsidRPr="0036575A" w:rsidRDefault="0036575A" w:rsidP="00D61BE3">
      <w:pPr>
        <w:pStyle w:val="Clan"/>
      </w:pPr>
    </w:p>
    <w:sectPr w:rsidR="0036575A" w:rsidRPr="0036575A" w:rsidSect="0074708F">
      <w:headerReference w:type="default" r:id="rId7"/>
      <w:footerReference w:type="default" r:id="rId8"/>
      <w:pgSz w:w="15840" w:h="12240" w:orient="landscape"/>
      <w:pgMar w:top="1800" w:right="1440" w:bottom="1800" w:left="1440" w:header="17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A27" w:rsidRDefault="00D34A27">
      <w:r>
        <w:separator/>
      </w:r>
    </w:p>
  </w:endnote>
  <w:endnote w:type="continuationSeparator" w:id="1">
    <w:p w:rsidR="00D34A27" w:rsidRDefault="00D34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Pr="005A4E20" w:rsidRDefault="005A4E20" w:rsidP="005A4E20">
    <w:pPr>
      <w:pStyle w:val="Footer"/>
      <w:pBdr>
        <w:bottom w:val="single" w:sz="12" w:space="1" w:color="auto"/>
      </w:pBdr>
      <w:rPr>
        <w:rFonts w:ascii="Arial" w:hAnsi="Arial" w:cs="Arial"/>
        <w:lang w:val="sr-Latn-CS"/>
      </w:rPr>
    </w:pPr>
  </w:p>
  <w:p w:rsidR="00B42AB4" w:rsidRPr="00D603E3" w:rsidRDefault="00B42AB4" w:rsidP="00B42AB4">
    <w:pPr>
      <w:pStyle w:val="Footer"/>
      <w:ind w:right="360" w:firstLine="360"/>
      <w:jc w:val="center"/>
      <w:rPr>
        <w:rFonts w:ascii="Tahoma" w:hAnsi="Tahoma" w:cs="Tahoma"/>
        <w:sz w:val="16"/>
        <w:szCs w:val="16"/>
        <w:lang w:val="sr-Latn-CS"/>
      </w:rPr>
    </w:pPr>
    <w:r>
      <w:rPr>
        <w:rFonts w:ascii="Tahoma" w:hAnsi="Tahoma" w:cs="Tahoma"/>
        <w:sz w:val="16"/>
        <w:szCs w:val="16"/>
        <w:lang w:val="sr-Cyrl-BA"/>
      </w:rPr>
      <w:t>ТРАНСПАРЕНТНОСТ СРБИЈА</w:t>
    </w:r>
    <w:r w:rsidRPr="005A4E20">
      <w:rPr>
        <w:rFonts w:ascii="Tahoma" w:hAnsi="Tahoma" w:cs="Tahoma"/>
        <w:sz w:val="16"/>
        <w:szCs w:val="16"/>
        <w:lang w:val="sl-SI"/>
      </w:rPr>
      <w:t xml:space="preserve"> </w:t>
    </w:r>
    <w:r>
      <w:rPr>
        <w:rFonts w:ascii="Tahoma" w:hAnsi="Tahoma" w:cs="Tahoma"/>
        <w:sz w:val="16"/>
        <w:szCs w:val="16"/>
        <w:lang w:val="sl-SI"/>
      </w:rPr>
      <w:t xml:space="preserve">је </w:t>
    </w:r>
    <w:r>
      <w:rPr>
        <w:rFonts w:ascii="Tahoma" w:hAnsi="Tahoma" w:cs="Tahoma"/>
        <w:sz w:val="16"/>
        <w:szCs w:val="16"/>
      </w:rPr>
      <w:t>пуноправни</w:t>
    </w:r>
    <w:r w:rsidRPr="00D603E3">
      <w:rPr>
        <w:rFonts w:ascii="Tahoma" w:hAnsi="Tahoma" w:cs="Tahoma"/>
        <w:sz w:val="16"/>
        <w:szCs w:val="16"/>
        <w:lang w:val="sr-Latn-CS"/>
      </w:rPr>
      <w:t xml:space="preserve"> </w:t>
    </w:r>
    <w:r>
      <w:rPr>
        <w:rFonts w:ascii="Tahoma" w:hAnsi="Tahoma" w:cs="Tahoma"/>
        <w:sz w:val="16"/>
        <w:szCs w:val="16"/>
      </w:rPr>
      <w:t>члан</w:t>
    </w:r>
    <w:r w:rsidRPr="00D603E3">
      <w:rPr>
        <w:rFonts w:ascii="Tahoma" w:hAnsi="Tahoma" w:cs="Tahoma"/>
        <w:sz w:val="16"/>
        <w:szCs w:val="16"/>
        <w:lang w:val="sr-Latn-CS"/>
      </w:rPr>
      <w:t xml:space="preserve"> </w:t>
    </w:r>
    <w:r>
      <w:rPr>
        <w:rFonts w:ascii="Tahoma" w:hAnsi="Tahoma" w:cs="Tahoma"/>
        <w:sz w:val="16"/>
        <w:szCs w:val="16"/>
      </w:rPr>
      <w:t>глобалне</w:t>
    </w:r>
    <w:r w:rsidRPr="00D603E3">
      <w:rPr>
        <w:rFonts w:ascii="Tahoma" w:hAnsi="Tahoma" w:cs="Tahoma"/>
        <w:sz w:val="16"/>
        <w:szCs w:val="16"/>
        <w:lang w:val="sr-Latn-CS"/>
      </w:rPr>
      <w:t xml:space="preserve"> </w:t>
    </w:r>
    <w:r>
      <w:rPr>
        <w:rFonts w:ascii="Tahoma" w:hAnsi="Tahoma" w:cs="Tahoma"/>
        <w:sz w:val="16"/>
        <w:szCs w:val="16"/>
      </w:rPr>
      <w:t>мреже</w:t>
    </w:r>
    <w:r w:rsidRPr="00D603E3">
      <w:rPr>
        <w:rFonts w:ascii="Tahoma" w:hAnsi="Tahoma" w:cs="Tahoma"/>
        <w:sz w:val="16"/>
        <w:szCs w:val="16"/>
        <w:lang w:val="sr-Latn-CS"/>
      </w:rPr>
      <w:t xml:space="preserve"> </w:t>
    </w:r>
    <w:r w:rsidRPr="005A4E20">
      <w:rPr>
        <w:rFonts w:ascii="Tahoma" w:hAnsi="Tahoma" w:cs="Tahoma"/>
        <w:sz w:val="16"/>
        <w:szCs w:val="16"/>
        <w:lang w:val="sl-SI"/>
      </w:rPr>
      <w:t>TRANSPARENCY INTERNATI</w:t>
    </w:r>
    <w:r w:rsidRPr="005A4E20">
      <w:rPr>
        <w:rFonts w:ascii="Tahoma" w:hAnsi="Tahoma" w:cs="Tahoma"/>
        <w:sz w:val="16"/>
        <w:szCs w:val="16"/>
        <w:lang w:val="sl-SI"/>
      </w:rPr>
      <w:t>O</w:t>
    </w:r>
    <w:r w:rsidRPr="005A4E20">
      <w:rPr>
        <w:rFonts w:ascii="Tahoma" w:hAnsi="Tahoma" w:cs="Tahoma"/>
        <w:sz w:val="16"/>
        <w:szCs w:val="16"/>
        <w:lang w:val="sl-SI"/>
      </w:rPr>
      <w:t xml:space="preserve">NAL </w:t>
    </w:r>
    <w:r>
      <w:rPr>
        <w:rFonts w:ascii="Tahoma" w:hAnsi="Tahoma" w:cs="Tahoma"/>
        <w:sz w:val="16"/>
        <w:szCs w:val="16"/>
      </w:rPr>
      <w:t>и</w:t>
    </w:r>
    <w:r w:rsidRPr="00D603E3">
      <w:rPr>
        <w:rFonts w:ascii="Tahoma" w:hAnsi="Tahoma" w:cs="Tahoma"/>
        <w:sz w:val="16"/>
        <w:szCs w:val="16"/>
        <w:lang w:val="sr-Latn-CS"/>
      </w:rPr>
      <w:t xml:space="preserve"> </w:t>
    </w:r>
    <w:r>
      <w:rPr>
        <w:rFonts w:ascii="Tahoma" w:hAnsi="Tahoma" w:cs="Tahoma"/>
        <w:sz w:val="16"/>
        <w:szCs w:val="16"/>
      </w:rPr>
      <w:t>њен</w:t>
    </w:r>
    <w:r w:rsidRPr="00D603E3">
      <w:rPr>
        <w:rFonts w:ascii="Tahoma" w:hAnsi="Tahoma" w:cs="Tahoma"/>
        <w:sz w:val="16"/>
        <w:szCs w:val="16"/>
        <w:lang w:val="sr-Latn-CS"/>
      </w:rPr>
      <w:t xml:space="preserve"> </w:t>
    </w:r>
    <w:r>
      <w:rPr>
        <w:rFonts w:ascii="Tahoma" w:hAnsi="Tahoma" w:cs="Tahoma"/>
        <w:sz w:val="16"/>
        <w:szCs w:val="16"/>
      </w:rPr>
      <w:t>акредитовани</w:t>
    </w:r>
    <w:r w:rsidRPr="00D603E3">
      <w:rPr>
        <w:rFonts w:ascii="Tahoma" w:hAnsi="Tahoma" w:cs="Tahoma"/>
        <w:sz w:val="16"/>
        <w:szCs w:val="16"/>
        <w:lang w:val="sr-Latn-CS"/>
      </w:rPr>
      <w:t xml:space="preserve"> </w:t>
    </w:r>
    <w:r>
      <w:rPr>
        <w:rFonts w:ascii="Tahoma" w:hAnsi="Tahoma" w:cs="Tahoma"/>
        <w:sz w:val="16"/>
        <w:szCs w:val="16"/>
      </w:rPr>
      <w:t>представник</w:t>
    </w:r>
    <w:r w:rsidRPr="00D603E3">
      <w:rPr>
        <w:rFonts w:ascii="Tahoma" w:hAnsi="Tahoma" w:cs="Tahoma"/>
        <w:sz w:val="16"/>
        <w:szCs w:val="16"/>
        <w:lang w:val="sr-Latn-CS"/>
      </w:rPr>
      <w:t xml:space="preserve"> </w:t>
    </w:r>
    <w:r>
      <w:rPr>
        <w:rFonts w:ascii="Tahoma" w:hAnsi="Tahoma" w:cs="Tahoma"/>
        <w:sz w:val="16"/>
        <w:szCs w:val="16"/>
        <w:lang w:val="sl-SI"/>
      </w:rPr>
      <w:t>у Републици Србији</w:t>
    </w:r>
    <w:r w:rsidRPr="00D603E3">
      <w:rPr>
        <w:rFonts w:ascii="Tahoma" w:hAnsi="Tahoma" w:cs="Tahoma"/>
        <w:sz w:val="16"/>
        <w:szCs w:val="16"/>
        <w:lang w:val="sr-Latn-CS"/>
      </w:rPr>
      <w:t xml:space="preserve"> </w:t>
    </w:r>
  </w:p>
  <w:p w:rsidR="005A4E20" w:rsidRPr="00D603E3" w:rsidRDefault="005A4E20" w:rsidP="00B42AB4">
    <w:pPr>
      <w:pStyle w:val="Footer"/>
      <w:ind w:right="360" w:firstLine="360"/>
      <w:jc w:val="center"/>
      <w:rPr>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A27" w:rsidRDefault="00D34A27">
      <w:r>
        <w:separator/>
      </w:r>
    </w:p>
  </w:footnote>
  <w:footnote w:type="continuationSeparator" w:id="1">
    <w:p w:rsidR="00D34A27" w:rsidRDefault="00D34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5A4E20" w:rsidP="005A4E20">
    <w:pPr>
      <w:pStyle w:val="Header"/>
      <w:ind w:left="1440"/>
      <w:rPr>
        <w:rFonts w:ascii="Arial" w:hAnsi="Arial" w:cs="Arial"/>
        <w:b/>
        <w:iCs/>
        <w:caps/>
        <w:lang w:val="sr-Latn-CS"/>
      </w:rPr>
    </w:pPr>
    <w:r w:rsidRPr="00E13DA3">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77.55pt;z-index:251658240" filled="f" strokecolor="white" strokeweight="0">
          <v:textbox style="mso-next-textbox:#_x0000_s2052">
            <w:txbxContent>
              <w:p w:rsidR="00D603E3" w:rsidRDefault="00F658D5" w:rsidP="005A4E20">
                <w:pPr>
                  <w:ind w:left="1440"/>
                  <w:jc w:val="right"/>
                  <w:rPr>
                    <w:rFonts w:ascii="Tahoma" w:hAnsi="Tahoma" w:cs="Tahoma"/>
                    <w:sz w:val="16"/>
                    <w:szCs w:val="16"/>
                    <w:lang w:val="sr-Cyrl-CS"/>
                  </w:rPr>
                </w:pPr>
                <w:r>
                  <w:rPr>
                    <w:rFonts w:ascii="Tahoma" w:hAnsi="Tahoma" w:cs="Tahoma"/>
                    <w:sz w:val="16"/>
                    <w:szCs w:val="16"/>
                    <w:lang w:val="sr-Latn-CS"/>
                  </w:rPr>
                  <w:t>Адреса</w:t>
                </w:r>
                <w:r w:rsidR="00D603E3">
                  <w:rPr>
                    <w:rFonts w:ascii="Tahoma" w:hAnsi="Tahoma" w:cs="Tahoma"/>
                    <w:sz w:val="16"/>
                    <w:szCs w:val="16"/>
                    <w:lang w:val="sr-Latn-CS"/>
                  </w:rPr>
                  <w:t>:</w:t>
                </w:r>
                <w:r w:rsidR="005A4E20" w:rsidRPr="005A4E20">
                  <w:rPr>
                    <w:rFonts w:ascii="Tahoma" w:hAnsi="Tahoma" w:cs="Tahoma"/>
                    <w:sz w:val="16"/>
                    <w:szCs w:val="16"/>
                    <w:lang w:val="sr-Latn-CS"/>
                  </w:rPr>
                  <w:t xml:space="preserve"> </w:t>
                </w:r>
                <w:r w:rsidR="00B826BD">
                  <w:rPr>
                    <w:rFonts w:ascii="Tahoma" w:hAnsi="Tahoma" w:cs="Tahoma"/>
                    <w:sz w:val="16"/>
                    <w:szCs w:val="16"/>
                    <w:lang w:val="sr-Cyrl-CS"/>
                  </w:rPr>
                  <w:t xml:space="preserve">Бул. </w:t>
                </w:r>
                <w:r w:rsidR="00B826BD">
                  <w:rPr>
                    <w:rFonts w:ascii="Tahoma" w:hAnsi="Tahoma" w:cs="Tahoma"/>
                    <w:sz w:val="16"/>
                    <w:szCs w:val="16"/>
                    <w:lang w:val="sr-Latn-CS"/>
                  </w:rPr>
                  <w:t>д</w:t>
                </w:r>
                <w:r w:rsidR="00D603E3">
                  <w:rPr>
                    <w:rFonts w:ascii="Tahoma" w:hAnsi="Tahoma" w:cs="Tahoma"/>
                    <w:sz w:val="16"/>
                    <w:szCs w:val="16"/>
                    <w:lang w:val="sr-Cyrl-CS"/>
                  </w:rPr>
                  <w:t>еспота Стефана</w:t>
                </w:r>
              </w:p>
              <w:p w:rsidR="005A4E20" w:rsidRPr="005A4E20" w:rsidRDefault="00D603E3" w:rsidP="005A4E20">
                <w:pPr>
                  <w:ind w:left="1440"/>
                  <w:jc w:val="right"/>
                  <w:rPr>
                    <w:rFonts w:ascii="Tahoma" w:hAnsi="Tahoma" w:cs="Tahoma"/>
                    <w:sz w:val="16"/>
                    <w:szCs w:val="16"/>
                    <w:lang w:val="sr-Latn-CS"/>
                  </w:rPr>
                </w:pPr>
                <w:r>
                  <w:rPr>
                    <w:rFonts w:ascii="Tahoma" w:hAnsi="Tahoma" w:cs="Tahoma"/>
                    <w:sz w:val="16"/>
                    <w:szCs w:val="16"/>
                    <w:lang w:val="sr-Cyrl-CS"/>
                  </w:rPr>
                  <w:t>(</w:t>
                </w:r>
                <w:r w:rsidR="005A4E20" w:rsidRPr="005A4E20">
                  <w:rPr>
                    <w:rFonts w:ascii="Tahoma" w:hAnsi="Tahoma" w:cs="Tahoma"/>
                    <w:sz w:val="16"/>
                    <w:szCs w:val="16"/>
                    <w:lang w:val="sr-Latn-CS"/>
                  </w:rPr>
                  <w:t xml:space="preserve">29. </w:t>
                </w:r>
                <w:r w:rsidR="00F658D5">
                  <w:rPr>
                    <w:rFonts w:ascii="Tahoma" w:hAnsi="Tahoma" w:cs="Tahoma"/>
                    <w:sz w:val="16"/>
                    <w:szCs w:val="16"/>
                    <w:lang w:val="sr-Latn-CS"/>
                  </w:rPr>
                  <w:t>Новембра</w:t>
                </w:r>
                <w:r>
                  <w:rPr>
                    <w:rFonts w:ascii="Tahoma" w:hAnsi="Tahoma" w:cs="Tahoma"/>
                    <w:sz w:val="16"/>
                    <w:szCs w:val="16"/>
                    <w:lang w:val="sr-Cyrl-CS"/>
                  </w:rPr>
                  <w:t>)</w:t>
                </w:r>
                <w:r w:rsidR="005A4E20" w:rsidRPr="005A4E20">
                  <w:rPr>
                    <w:rFonts w:ascii="Tahoma" w:hAnsi="Tahoma" w:cs="Tahoma"/>
                    <w:sz w:val="16"/>
                    <w:szCs w:val="16"/>
                    <w:lang w:val="sr-Latn-CS"/>
                  </w:rPr>
                  <w:t xml:space="preserve"> 36 / I</w:t>
                </w:r>
              </w:p>
              <w:p w:rsidR="005A4E20" w:rsidRPr="005A4E20" w:rsidRDefault="00F658D5" w:rsidP="005A4E20">
                <w:pPr>
                  <w:ind w:left="1440" w:firstLine="720"/>
                  <w:jc w:val="right"/>
                  <w:rPr>
                    <w:rFonts w:ascii="Tahoma" w:hAnsi="Tahoma" w:cs="Tahoma"/>
                    <w:sz w:val="16"/>
                    <w:szCs w:val="16"/>
                    <w:lang w:val="sr-Latn-CS"/>
                  </w:rPr>
                </w:pPr>
                <w:r>
                  <w:rPr>
                    <w:rFonts w:ascii="Tahoma" w:hAnsi="Tahoma" w:cs="Tahoma"/>
                    <w:sz w:val="16"/>
                    <w:szCs w:val="16"/>
                    <w:lang w:val="sr-Latn-CS"/>
                  </w:rPr>
                  <w:t xml:space="preserve">   11000 Београд</w:t>
                </w:r>
                <w:r w:rsidR="005A4E20" w:rsidRPr="005A4E20">
                  <w:rPr>
                    <w:rFonts w:ascii="Tahoma" w:hAnsi="Tahoma" w:cs="Tahoma"/>
                    <w:sz w:val="16"/>
                    <w:szCs w:val="16"/>
                    <w:lang w:val="sr-Latn-CS"/>
                  </w:rPr>
                  <w:t xml:space="preserve">, </w:t>
                </w:r>
                <w:r>
                  <w:rPr>
                    <w:rFonts w:ascii="Tahoma" w:hAnsi="Tahoma" w:cs="Tahoma"/>
                    <w:sz w:val="16"/>
                    <w:szCs w:val="16"/>
                    <w:lang w:val="sr-Latn-CS"/>
                  </w:rPr>
                  <w:t>Србија</w:t>
                </w:r>
              </w:p>
              <w:p w:rsidR="005A4E20" w:rsidRPr="005A4E20" w:rsidRDefault="00F658D5" w:rsidP="005A4E20">
                <w:pPr>
                  <w:ind w:left="1440"/>
                  <w:jc w:val="right"/>
                  <w:rPr>
                    <w:rFonts w:ascii="Tahoma" w:hAnsi="Tahoma" w:cs="Tahoma"/>
                    <w:sz w:val="16"/>
                    <w:szCs w:val="16"/>
                    <w:lang w:val="sr-Latn-CS"/>
                  </w:rPr>
                </w:pPr>
                <w:r>
                  <w:rPr>
                    <w:rFonts w:ascii="Tahoma" w:hAnsi="Tahoma" w:cs="Tahoma"/>
                    <w:sz w:val="16"/>
                    <w:szCs w:val="16"/>
                    <w:lang w:val="sr-Latn-CS"/>
                  </w:rPr>
                  <w:t xml:space="preserve">     Телефон</w:t>
                </w:r>
                <w:r w:rsidR="005A4E20" w:rsidRPr="005A4E20">
                  <w:rPr>
                    <w:rFonts w:ascii="Tahoma" w:hAnsi="Tahoma" w:cs="Tahoma"/>
                    <w:sz w:val="16"/>
                    <w:szCs w:val="16"/>
                    <w:lang w:val="sr-Latn-CS"/>
                  </w:rPr>
                  <w:t>:</w:t>
                </w:r>
                <w:r>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F658D5" w:rsidP="005A4E20">
                <w:pPr>
                  <w:ind w:left="1440"/>
                  <w:jc w:val="right"/>
                  <w:rPr>
                    <w:rFonts w:ascii="Tahoma" w:hAnsi="Tahoma" w:cs="Tahoma"/>
                    <w:sz w:val="16"/>
                    <w:szCs w:val="16"/>
                    <w:lang w:val="sr-Latn-CS"/>
                  </w:rPr>
                </w:pPr>
                <w:r>
                  <w:rPr>
                    <w:rFonts w:ascii="Tahoma" w:hAnsi="Tahoma" w:cs="Tahoma"/>
                    <w:sz w:val="16"/>
                    <w:szCs w:val="16"/>
                    <w:lang w:val="sr-Latn-CS"/>
                  </w:rPr>
                  <w:t>Факс</w:t>
                </w:r>
                <w:r w:rsidR="005A4E20" w:rsidRPr="005A4E20">
                  <w:rPr>
                    <w:rFonts w:ascii="Tahoma" w:hAnsi="Tahoma" w:cs="Tahoma"/>
                    <w:sz w:val="16"/>
                    <w:szCs w:val="16"/>
                    <w:lang w:val="sr-Latn-CS"/>
                  </w:rPr>
                  <w:t>:          (+ 381 11) 322 81 96</w:t>
                </w:r>
              </w:p>
              <w:p w:rsidR="00D603E3" w:rsidRDefault="005A4E20" w:rsidP="005A4E20">
                <w:pPr>
                  <w:ind w:left="1440"/>
                  <w:jc w:val="right"/>
                  <w:rPr>
                    <w:rFonts w:ascii="Tahoma" w:hAnsi="Tahoma" w:cs="Tahoma"/>
                    <w:sz w:val="16"/>
                    <w:szCs w:val="16"/>
                    <w:lang w:val="sr-Latn-CS"/>
                  </w:rPr>
                </w:pPr>
                <w:r w:rsidRPr="005A4E20">
                  <w:rPr>
                    <w:rFonts w:ascii="Tahoma" w:hAnsi="Tahoma" w:cs="Tahoma"/>
                    <w:sz w:val="16"/>
                    <w:szCs w:val="16"/>
                    <w:lang w:val="sr-Latn-CS"/>
                  </w:rPr>
                  <w:t xml:space="preserve">e-mail: </w:t>
                </w:r>
                <w:hyperlink r:id="rId1" w:history="1">
                  <w:r w:rsidR="00D603E3" w:rsidRPr="00795852">
                    <w:rPr>
                      <w:rStyle w:val="Hyperlink"/>
                      <w:rFonts w:ascii="Tahoma" w:hAnsi="Tahoma" w:cs="Tahoma"/>
                      <w:sz w:val="16"/>
                      <w:szCs w:val="16"/>
                      <w:lang w:val="sr-Latn-CS"/>
                    </w:rPr>
                    <w:t>ts@transparentnost.org.rs</w:t>
                  </w:r>
                </w:hyperlink>
              </w:p>
              <w:p w:rsidR="00B826BD" w:rsidRPr="00B826BD" w:rsidRDefault="00B826BD" w:rsidP="005A4E20">
                <w:pPr>
                  <w:ind w:left="1440"/>
                  <w:jc w:val="right"/>
                  <w:rPr>
                    <w:rFonts w:ascii="Tahoma" w:hAnsi="Tahoma" w:cs="Tahoma"/>
                    <w:sz w:val="16"/>
                    <w:szCs w:val="16"/>
                    <w:lang w:val="sr-Latn-CS"/>
                  </w:rPr>
                </w:pPr>
                <w:hyperlink r:id="rId2" w:history="1">
                  <w:r w:rsidRPr="00BE7280">
                    <w:rPr>
                      <w:rStyle w:val="Hyperlink"/>
                      <w:rFonts w:ascii="Tahoma" w:hAnsi="Tahoma" w:cs="Tahoma"/>
                      <w:sz w:val="16"/>
                      <w:szCs w:val="16"/>
                      <w:lang w:val="sr-Latn-CS"/>
                    </w:rPr>
                    <w:t>www.transparentnost.org.rs</w:t>
                  </w:r>
                </w:hyperlink>
                <w:r>
                  <w:rPr>
                    <w:rFonts w:ascii="Tahoma" w:hAnsi="Tahoma" w:cs="Tahoma"/>
                    <w:sz w:val="16"/>
                    <w:szCs w:val="16"/>
                    <w:lang w:val="sr-Latn-CS"/>
                  </w:rPr>
                  <w:t xml:space="preserve"> </w:t>
                </w:r>
              </w:p>
              <w:p w:rsidR="00D603E3" w:rsidRDefault="00D603E3" w:rsidP="005A4E20">
                <w:pPr>
                  <w:ind w:left="1440"/>
                  <w:jc w:val="right"/>
                  <w:rPr>
                    <w:rFonts w:ascii="Tahoma" w:hAnsi="Tahoma" w:cs="Tahoma"/>
                    <w:sz w:val="16"/>
                    <w:szCs w:val="16"/>
                    <w:lang w:val="sr-Cyrl-CS"/>
                  </w:rPr>
                </w:pPr>
              </w:p>
              <w:p w:rsidR="00D603E3" w:rsidRPr="00D603E3" w:rsidRDefault="00D603E3" w:rsidP="005A4E20">
                <w:pPr>
                  <w:ind w:left="1440"/>
                  <w:jc w:val="right"/>
                  <w:rPr>
                    <w:rFonts w:ascii="Tahoma" w:hAnsi="Tahoma" w:cs="Tahoma"/>
                    <w:sz w:val="16"/>
                    <w:szCs w:val="16"/>
                    <w:lang w:val="sr-Cyrl-CS"/>
                  </w:rPr>
                </w:pPr>
              </w:p>
            </w:txbxContent>
          </v:textbox>
        </v:shape>
      </w:pict>
    </w:r>
    <w:r w:rsidR="00194A45">
      <w:rPr>
        <w:rFonts w:ascii="Arial" w:hAnsi="Arial" w:cs="Arial"/>
        <w:b/>
        <w:caps/>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3"/>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F658D5" w:rsidRDefault="00F658D5" w:rsidP="005A4E20">
    <w:pPr>
      <w:pStyle w:val="Header"/>
      <w:ind w:left="144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5A4E20" w:rsidRPr="00327589" w:rsidRDefault="00F658D5" w:rsidP="00B826BD">
    <w:pPr>
      <w:pStyle w:val="Header"/>
      <w:pBdr>
        <w:bottom w:val="single" w:sz="12" w:space="29"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C39"/>
    <w:multiLevelType w:val="hybridMultilevel"/>
    <w:tmpl w:val="1AAE0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97B5F"/>
    <w:multiLevelType w:val="multilevel"/>
    <w:tmpl w:val="9E02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1616A5"/>
    <w:multiLevelType w:val="multilevel"/>
    <w:tmpl w:val="877C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2A5521"/>
    <w:multiLevelType w:val="hybridMultilevel"/>
    <w:tmpl w:val="0FD0FA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displayBackgroundShape/>
  <w:stylePaneFormatFilter w:val="3F01"/>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4E20"/>
    <w:rsid w:val="00014176"/>
    <w:rsid w:val="00021344"/>
    <w:rsid w:val="00033C84"/>
    <w:rsid w:val="00043191"/>
    <w:rsid w:val="000459BF"/>
    <w:rsid w:val="00071C1F"/>
    <w:rsid w:val="000806D9"/>
    <w:rsid w:val="0009480A"/>
    <w:rsid w:val="00094829"/>
    <w:rsid w:val="000A5563"/>
    <w:rsid w:val="000C3237"/>
    <w:rsid w:val="000E06BE"/>
    <w:rsid w:val="000F3516"/>
    <w:rsid w:val="00104CA4"/>
    <w:rsid w:val="00174B43"/>
    <w:rsid w:val="001754BB"/>
    <w:rsid w:val="0017737D"/>
    <w:rsid w:val="00194A45"/>
    <w:rsid w:val="001A336F"/>
    <w:rsid w:val="001B741E"/>
    <w:rsid w:val="001D3752"/>
    <w:rsid w:val="001E78B4"/>
    <w:rsid w:val="001F505C"/>
    <w:rsid w:val="00206150"/>
    <w:rsid w:val="00206318"/>
    <w:rsid w:val="00206DB4"/>
    <w:rsid w:val="00211656"/>
    <w:rsid w:val="00216F79"/>
    <w:rsid w:val="00220275"/>
    <w:rsid w:val="002221C8"/>
    <w:rsid w:val="0023605C"/>
    <w:rsid w:val="00244824"/>
    <w:rsid w:val="00246C49"/>
    <w:rsid w:val="00250666"/>
    <w:rsid w:val="00263676"/>
    <w:rsid w:val="00273567"/>
    <w:rsid w:val="002831ED"/>
    <w:rsid w:val="00283CB7"/>
    <w:rsid w:val="00291FD1"/>
    <w:rsid w:val="002B05EB"/>
    <w:rsid w:val="002B296E"/>
    <w:rsid w:val="002B5DD8"/>
    <w:rsid w:val="002E3400"/>
    <w:rsid w:val="002F70D8"/>
    <w:rsid w:val="00316525"/>
    <w:rsid w:val="00321827"/>
    <w:rsid w:val="003429EF"/>
    <w:rsid w:val="0036230D"/>
    <w:rsid w:val="0036575A"/>
    <w:rsid w:val="00366FAE"/>
    <w:rsid w:val="003723E3"/>
    <w:rsid w:val="00391055"/>
    <w:rsid w:val="003A4299"/>
    <w:rsid w:val="003C3BFF"/>
    <w:rsid w:val="003C5A44"/>
    <w:rsid w:val="003D3730"/>
    <w:rsid w:val="003E6150"/>
    <w:rsid w:val="003F5DA1"/>
    <w:rsid w:val="004076A5"/>
    <w:rsid w:val="004709E9"/>
    <w:rsid w:val="004923A7"/>
    <w:rsid w:val="004A4D99"/>
    <w:rsid w:val="004B1843"/>
    <w:rsid w:val="004B6A19"/>
    <w:rsid w:val="00502BB8"/>
    <w:rsid w:val="00504395"/>
    <w:rsid w:val="00520AE6"/>
    <w:rsid w:val="005334CC"/>
    <w:rsid w:val="00533F70"/>
    <w:rsid w:val="0055049C"/>
    <w:rsid w:val="005627A7"/>
    <w:rsid w:val="00576656"/>
    <w:rsid w:val="005A0FE6"/>
    <w:rsid w:val="005A4E20"/>
    <w:rsid w:val="005C447F"/>
    <w:rsid w:val="005D4DEC"/>
    <w:rsid w:val="005F2123"/>
    <w:rsid w:val="00600484"/>
    <w:rsid w:val="00602008"/>
    <w:rsid w:val="00621335"/>
    <w:rsid w:val="00632651"/>
    <w:rsid w:val="006333E8"/>
    <w:rsid w:val="00636BE2"/>
    <w:rsid w:val="0063797E"/>
    <w:rsid w:val="006511BF"/>
    <w:rsid w:val="00664697"/>
    <w:rsid w:val="006715D6"/>
    <w:rsid w:val="006863B5"/>
    <w:rsid w:val="006C0810"/>
    <w:rsid w:val="006D1744"/>
    <w:rsid w:val="006D781C"/>
    <w:rsid w:val="006E32F2"/>
    <w:rsid w:val="006F7AC8"/>
    <w:rsid w:val="00722E45"/>
    <w:rsid w:val="00724909"/>
    <w:rsid w:val="0072552D"/>
    <w:rsid w:val="00742A35"/>
    <w:rsid w:val="0074708F"/>
    <w:rsid w:val="00751758"/>
    <w:rsid w:val="00775FC1"/>
    <w:rsid w:val="007834CB"/>
    <w:rsid w:val="007B314E"/>
    <w:rsid w:val="007C02B9"/>
    <w:rsid w:val="007C0FB2"/>
    <w:rsid w:val="007C1DA0"/>
    <w:rsid w:val="007E0944"/>
    <w:rsid w:val="007E5C34"/>
    <w:rsid w:val="007F7C6E"/>
    <w:rsid w:val="00840F01"/>
    <w:rsid w:val="008572E4"/>
    <w:rsid w:val="00881A2D"/>
    <w:rsid w:val="008A5977"/>
    <w:rsid w:val="008D6944"/>
    <w:rsid w:val="008E2E83"/>
    <w:rsid w:val="008E4045"/>
    <w:rsid w:val="009242CF"/>
    <w:rsid w:val="00932A0B"/>
    <w:rsid w:val="009339CF"/>
    <w:rsid w:val="00933E8A"/>
    <w:rsid w:val="00937072"/>
    <w:rsid w:val="00973EC2"/>
    <w:rsid w:val="009A7DB9"/>
    <w:rsid w:val="009E363E"/>
    <w:rsid w:val="00A20FAA"/>
    <w:rsid w:val="00A47E55"/>
    <w:rsid w:val="00A61D6D"/>
    <w:rsid w:val="00A6253C"/>
    <w:rsid w:val="00A640C2"/>
    <w:rsid w:val="00A82CD4"/>
    <w:rsid w:val="00A965BB"/>
    <w:rsid w:val="00AA447C"/>
    <w:rsid w:val="00AB2094"/>
    <w:rsid w:val="00AB3EDC"/>
    <w:rsid w:val="00AB3FC2"/>
    <w:rsid w:val="00AB662C"/>
    <w:rsid w:val="00AD25BD"/>
    <w:rsid w:val="00AF2058"/>
    <w:rsid w:val="00B065A1"/>
    <w:rsid w:val="00B32567"/>
    <w:rsid w:val="00B33BDC"/>
    <w:rsid w:val="00B42AB4"/>
    <w:rsid w:val="00B530C0"/>
    <w:rsid w:val="00B612E0"/>
    <w:rsid w:val="00B61664"/>
    <w:rsid w:val="00B80C48"/>
    <w:rsid w:val="00B826BD"/>
    <w:rsid w:val="00B95B28"/>
    <w:rsid w:val="00B9786A"/>
    <w:rsid w:val="00BB4C35"/>
    <w:rsid w:val="00BC6B82"/>
    <w:rsid w:val="00BD5148"/>
    <w:rsid w:val="00BE4168"/>
    <w:rsid w:val="00BE47B0"/>
    <w:rsid w:val="00BF2454"/>
    <w:rsid w:val="00BF69AA"/>
    <w:rsid w:val="00C14486"/>
    <w:rsid w:val="00C4772B"/>
    <w:rsid w:val="00C949F8"/>
    <w:rsid w:val="00CA2BFB"/>
    <w:rsid w:val="00CB3A62"/>
    <w:rsid w:val="00CB409A"/>
    <w:rsid w:val="00CC59C8"/>
    <w:rsid w:val="00CD4422"/>
    <w:rsid w:val="00CF74BA"/>
    <w:rsid w:val="00CF767C"/>
    <w:rsid w:val="00D161F7"/>
    <w:rsid w:val="00D34A27"/>
    <w:rsid w:val="00D45431"/>
    <w:rsid w:val="00D57133"/>
    <w:rsid w:val="00D603E3"/>
    <w:rsid w:val="00D61746"/>
    <w:rsid w:val="00D6180E"/>
    <w:rsid w:val="00D61BE3"/>
    <w:rsid w:val="00D67C45"/>
    <w:rsid w:val="00D8622F"/>
    <w:rsid w:val="00DB3CEE"/>
    <w:rsid w:val="00DC1F8E"/>
    <w:rsid w:val="00DC773E"/>
    <w:rsid w:val="00DC7D8E"/>
    <w:rsid w:val="00DF1335"/>
    <w:rsid w:val="00E00798"/>
    <w:rsid w:val="00E07E59"/>
    <w:rsid w:val="00E35FF4"/>
    <w:rsid w:val="00E87DA0"/>
    <w:rsid w:val="00EA54C2"/>
    <w:rsid w:val="00EB1D48"/>
    <w:rsid w:val="00EB3ED9"/>
    <w:rsid w:val="00EC5B39"/>
    <w:rsid w:val="00EF4383"/>
    <w:rsid w:val="00EF4A76"/>
    <w:rsid w:val="00F025BD"/>
    <w:rsid w:val="00F27450"/>
    <w:rsid w:val="00F27F1C"/>
    <w:rsid w:val="00F336FD"/>
    <w:rsid w:val="00F345CB"/>
    <w:rsid w:val="00F44D3B"/>
    <w:rsid w:val="00F47F06"/>
    <w:rsid w:val="00F54D6F"/>
    <w:rsid w:val="00F55D8C"/>
    <w:rsid w:val="00F64277"/>
    <w:rsid w:val="00F658D5"/>
    <w:rsid w:val="00F8433E"/>
    <w:rsid w:val="00F931AB"/>
    <w:rsid w:val="00FC5CB7"/>
    <w:rsid w:val="00FE3643"/>
    <w:rsid w:val="00FF4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3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BB4C35"/>
    <w:rPr>
      <w:rFonts w:ascii="Tahoma" w:hAnsi="Tahoma" w:cs="Tahoma"/>
      <w:sz w:val="16"/>
      <w:szCs w:val="16"/>
    </w:rPr>
  </w:style>
  <w:style w:type="paragraph" w:customStyle="1" w:styleId="Clan">
    <w:name w:val="Clan"/>
    <w:basedOn w:val="Normal"/>
    <w:rsid w:val="004A4D99"/>
    <w:pPr>
      <w:keepNext/>
      <w:tabs>
        <w:tab w:val="left" w:pos="1080"/>
      </w:tabs>
      <w:spacing w:before="120" w:after="120"/>
      <w:ind w:left="720" w:right="720"/>
      <w:jc w:val="center"/>
    </w:pPr>
    <w:rPr>
      <w:rFonts w:ascii="Arial" w:hAnsi="Arial" w:cs="Arial"/>
      <w:b/>
      <w:sz w:val="22"/>
      <w:szCs w:val="22"/>
      <w:lang w:val="sr-Cyrl-CS"/>
    </w:rPr>
  </w:style>
  <w:style w:type="paragraph" w:customStyle="1" w:styleId="clan0">
    <w:name w:val="clan"/>
    <w:basedOn w:val="Normal"/>
    <w:rsid w:val="004A4D99"/>
    <w:pPr>
      <w:spacing w:before="240" w:after="120"/>
      <w:jc w:val="center"/>
    </w:pPr>
    <w:rPr>
      <w:rFonts w:ascii="Arial" w:hAnsi="Arial" w:cs="Arial"/>
      <w:b/>
      <w:bCs/>
      <w:lang w:eastAsia="ko-KR"/>
    </w:rPr>
  </w:style>
  <w:style w:type="paragraph" w:customStyle="1" w:styleId="normal0">
    <w:name w:val="normal"/>
    <w:basedOn w:val="Normal"/>
    <w:rsid w:val="004A4D99"/>
    <w:pPr>
      <w:spacing w:before="100" w:beforeAutospacing="1" w:after="100" w:afterAutospacing="1"/>
    </w:pPr>
    <w:rPr>
      <w:rFonts w:ascii="Arial" w:hAnsi="Arial" w:cs="Arial"/>
      <w:sz w:val="22"/>
      <w:szCs w:val="22"/>
      <w:lang w:eastAsia="ko-KR"/>
    </w:rPr>
  </w:style>
  <w:style w:type="character" w:customStyle="1" w:styleId="apple-style-span">
    <w:name w:val="apple-style-span"/>
    <w:basedOn w:val="DefaultParagraphFont"/>
    <w:rsid w:val="0072552D"/>
  </w:style>
  <w:style w:type="paragraph" w:customStyle="1" w:styleId="preamble">
    <w:name w:val="preamble"/>
    <w:basedOn w:val="Normal"/>
    <w:rsid w:val="00D61BE3"/>
    <w:pPr>
      <w:spacing w:before="100" w:beforeAutospacing="1" w:after="100" w:afterAutospacing="1"/>
    </w:pPr>
  </w:style>
  <w:style w:type="paragraph" w:styleId="NormalWeb">
    <w:name w:val="Normal (Web)"/>
    <w:basedOn w:val="Normal"/>
    <w:uiPriority w:val="99"/>
    <w:unhideWhenUsed/>
    <w:rsid w:val="00D61B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02851541">
      <w:bodyDiv w:val="1"/>
      <w:marLeft w:val="0"/>
      <w:marRight w:val="0"/>
      <w:marTop w:val="0"/>
      <w:marBottom w:val="0"/>
      <w:divBdr>
        <w:top w:val="none" w:sz="0" w:space="0" w:color="auto"/>
        <w:left w:val="none" w:sz="0" w:space="0" w:color="auto"/>
        <w:bottom w:val="none" w:sz="0" w:space="0" w:color="auto"/>
        <w:right w:val="none" w:sz="0" w:space="0" w:color="auto"/>
      </w:divBdr>
      <w:divsChild>
        <w:div w:id="1700930132">
          <w:marLeft w:val="0"/>
          <w:marRight w:val="0"/>
          <w:marTop w:val="0"/>
          <w:marBottom w:val="0"/>
          <w:divBdr>
            <w:top w:val="none" w:sz="0" w:space="0" w:color="auto"/>
            <w:left w:val="none" w:sz="0" w:space="0" w:color="auto"/>
            <w:bottom w:val="none" w:sz="0" w:space="0" w:color="auto"/>
            <w:right w:val="none" w:sz="0" w:space="0" w:color="auto"/>
          </w:divBdr>
        </w:div>
      </w:divsChild>
    </w:div>
    <w:div w:id="360328210">
      <w:bodyDiv w:val="1"/>
      <w:marLeft w:val="0"/>
      <w:marRight w:val="0"/>
      <w:marTop w:val="0"/>
      <w:marBottom w:val="0"/>
      <w:divBdr>
        <w:top w:val="none" w:sz="0" w:space="0" w:color="auto"/>
        <w:left w:val="none" w:sz="0" w:space="0" w:color="auto"/>
        <w:bottom w:val="none" w:sz="0" w:space="0" w:color="auto"/>
        <w:right w:val="none" w:sz="0" w:space="0" w:color="auto"/>
      </w:divBdr>
      <w:divsChild>
        <w:div w:id="69887185">
          <w:marLeft w:val="0"/>
          <w:marRight w:val="0"/>
          <w:marTop w:val="0"/>
          <w:marBottom w:val="0"/>
          <w:divBdr>
            <w:top w:val="none" w:sz="0" w:space="0" w:color="auto"/>
            <w:left w:val="none" w:sz="0" w:space="0" w:color="auto"/>
            <w:bottom w:val="none" w:sz="0" w:space="0" w:color="auto"/>
            <w:right w:val="none" w:sz="0" w:space="0" w:color="auto"/>
          </w:divBdr>
        </w:div>
        <w:div w:id="110169631">
          <w:marLeft w:val="0"/>
          <w:marRight w:val="0"/>
          <w:marTop w:val="0"/>
          <w:marBottom w:val="0"/>
          <w:divBdr>
            <w:top w:val="none" w:sz="0" w:space="0" w:color="auto"/>
            <w:left w:val="none" w:sz="0" w:space="0" w:color="auto"/>
            <w:bottom w:val="none" w:sz="0" w:space="0" w:color="auto"/>
            <w:right w:val="none" w:sz="0" w:space="0" w:color="auto"/>
          </w:divBdr>
        </w:div>
        <w:div w:id="521208345">
          <w:marLeft w:val="0"/>
          <w:marRight w:val="0"/>
          <w:marTop w:val="0"/>
          <w:marBottom w:val="0"/>
          <w:divBdr>
            <w:top w:val="none" w:sz="0" w:space="0" w:color="auto"/>
            <w:left w:val="none" w:sz="0" w:space="0" w:color="auto"/>
            <w:bottom w:val="none" w:sz="0" w:space="0" w:color="auto"/>
            <w:right w:val="none" w:sz="0" w:space="0" w:color="auto"/>
          </w:divBdr>
        </w:div>
        <w:div w:id="696008297">
          <w:marLeft w:val="0"/>
          <w:marRight w:val="0"/>
          <w:marTop w:val="0"/>
          <w:marBottom w:val="0"/>
          <w:divBdr>
            <w:top w:val="none" w:sz="0" w:space="0" w:color="auto"/>
            <w:left w:val="none" w:sz="0" w:space="0" w:color="auto"/>
            <w:bottom w:val="none" w:sz="0" w:space="0" w:color="auto"/>
            <w:right w:val="none" w:sz="0" w:space="0" w:color="auto"/>
          </w:divBdr>
        </w:div>
        <w:div w:id="1008555675">
          <w:marLeft w:val="0"/>
          <w:marRight w:val="0"/>
          <w:marTop w:val="0"/>
          <w:marBottom w:val="0"/>
          <w:divBdr>
            <w:top w:val="none" w:sz="0" w:space="0" w:color="auto"/>
            <w:left w:val="none" w:sz="0" w:space="0" w:color="auto"/>
            <w:bottom w:val="none" w:sz="0" w:space="0" w:color="auto"/>
            <w:right w:val="none" w:sz="0" w:space="0" w:color="auto"/>
          </w:divBdr>
        </w:div>
        <w:div w:id="1174371951">
          <w:marLeft w:val="0"/>
          <w:marRight w:val="0"/>
          <w:marTop w:val="0"/>
          <w:marBottom w:val="0"/>
          <w:divBdr>
            <w:top w:val="none" w:sz="0" w:space="0" w:color="auto"/>
            <w:left w:val="none" w:sz="0" w:space="0" w:color="auto"/>
            <w:bottom w:val="none" w:sz="0" w:space="0" w:color="auto"/>
            <w:right w:val="none" w:sz="0" w:space="0" w:color="auto"/>
          </w:divBdr>
        </w:div>
        <w:div w:id="1176305677">
          <w:marLeft w:val="0"/>
          <w:marRight w:val="0"/>
          <w:marTop w:val="0"/>
          <w:marBottom w:val="0"/>
          <w:divBdr>
            <w:top w:val="none" w:sz="0" w:space="0" w:color="auto"/>
            <w:left w:val="none" w:sz="0" w:space="0" w:color="auto"/>
            <w:bottom w:val="none" w:sz="0" w:space="0" w:color="auto"/>
            <w:right w:val="none" w:sz="0" w:space="0" w:color="auto"/>
          </w:divBdr>
        </w:div>
        <w:div w:id="1230456753">
          <w:marLeft w:val="0"/>
          <w:marRight w:val="0"/>
          <w:marTop w:val="0"/>
          <w:marBottom w:val="0"/>
          <w:divBdr>
            <w:top w:val="none" w:sz="0" w:space="0" w:color="auto"/>
            <w:left w:val="none" w:sz="0" w:space="0" w:color="auto"/>
            <w:bottom w:val="none" w:sz="0" w:space="0" w:color="auto"/>
            <w:right w:val="none" w:sz="0" w:space="0" w:color="auto"/>
          </w:divBdr>
        </w:div>
        <w:div w:id="1279334372">
          <w:marLeft w:val="0"/>
          <w:marRight w:val="0"/>
          <w:marTop w:val="0"/>
          <w:marBottom w:val="0"/>
          <w:divBdr>
            <w:top w:val="none" w:sz="0" w:space="0" w:color="auto"/>
            <w:left w:val="none" w:sz="0" w:space="0" w:color="auto"/>
            <w:bottom w:val="none" w:sz="0" w:space="0" w:color="auto"/>
            <w:right w:val="none" w:sz="0" w:space="0" w:color="auto"/>
          </w:divBdr>
        </w:div>
        <w:div w:id="1303845247">
          <w:marLeft w:val="0"/>
          <w:marRight w:val="0"/>
          <w:marTop w:val="0"/>
          <w:marBottom w:val="0"/>
          <w:divBdr>
            <w:top w:val="none" w:sz="0" w:space="0" w:color="auto"/>
            <w:left w:val="none" w:sz="0" w:space="0" w:color="auto"/>
            <w:bottom w:val="none" w:sz="0" w:space="0" w:color="auto"/>
            <w:right w:val="none" w:sz="0" w:space="0" w:color="auto"/>
          </w:divBdr>
        </w:div>
        <w:div w:id="1622565104">
          <w:marLeft w:val="0"/>
          <w:marRight w:val="0"/>
          <w:marTop w:val="0"/>
          <w:marBottom w:val="0"/>
          <w:divBdr>
            <w:top w:val="none" w:sz="0" w:space="0" w:color="auto"/>
            <w:left w:val="none" w:sz="0" w:space="0" w:color="auto"/>
            <w:bottom w:val="none" w:sz="0" w:space="0" w:color="auto"/>
            <w:right w:val="none" w:sz="0" w:space="0" w:color="auto"/>
          </w:divBdr>
        </w:div>
        <w:div w:id="1665889383">
          <w:marLeft w:val="0"/>
          <w:marRight w:val="0"/>
          <w:marTop w:val="0"/>
          <w:marBottom w:val="0"/>
          <w:divBdr>
            <w:top w:val="none" w:sz="0" w:space="0" w:color="auto"/>
            <w:left w:val="none" w:sz="0" w:space="0" w:color="auto"/>
            <w:bottom w:val="none" w:sz="0" w:space="0" w:color="auto"/>
            <w:right w:val="none" w:sz="0" w:space="0" w:color="auto"/>
          </w:divBdr>
        </w:div>
        <w:div w:id="1860390608">
          <w:marLeft w:val="0"/>
          <w:marRight w:val="0"/>
          <w:marTop w:val="0"/>
          <w:marBottom w:val="0"/>
          <w:divBdr>
            <w:top w:val="none" w:sz="0" w:space="0" w:color="auto"/>
            <w:left w:val="none" w:sz="0" w:space="0" w:color="auto"/>
            <w:bottom w:val="none" w:sz="0" w:space="0" w:color="auto"/>
            <w:right w:val="none" w:sz="0" w:space="0" w:color="auto"/>
          </w:divBdr>
        </w:div>
        <w:div w:id="1879200016">
          <w:marLeft w:val="0"/>
          <w:marRight w:val="0"/>
          <w:marTop w:val="0"/>
          <w:marBottom w:val="0"/>
          <w:divBdr>
            <w:top w:val="none" w:sz="0" w:space="0" w:color="auto"/>
            <w:left w:val="none" w:sz="0" w:space="0" w:color="auto"/>
            <w:bottom w:val="none" w:sz="0" w:space="0" w:color="auto"/>
            <w:right w:val="none" w:sz="0" w:space="0" w:color="auto"/>
          </w:divBdr>
        </w:div>
        <w:div w:id="2049139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ransparentnost.org.rs" TargetMode="External"/><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Transparency Serbia</Company>
  <LinksUpToDate>false</LinksUpToDate>
  <CharactersWithSpaces>4779</CharactersWithSpaces>
  <SharedDoc>false</SharedDoc>
  <HLinks>
    <vt:vector size="12" baseType="variant">
      <vt:variant>
        <vt:i4>7536700</vt:i4>
      </vt:variant>
      <vt:variant>
        <vt:i4>3</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Bane</dc:creator>
  <cp:keywords/>
  <cp:lastModifiedBy>x4</cp:lastModifiedBy>
  <cp:revision>2</cp:revision>
  <cp:lastPrinted>2008-01-10T11:42:00Z</cp:lastPrinted>
  <dcterms:created xsi:type="dcterms:W3CDTF">2011-07-04T12:23:00Z</dcterms:created>
  <dcterms:modified xsi:type="dcterms:W3CDTF">2011-07-04T12:23:00Z</dcterms:modified>
</cp:coreProperties>
</file>